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0FABE" w14:textId="77777777" w:rsidR="0054227E" w:rsidRPr="00C91E6E" w:rsidRDefault="0013574E" w:rsidP="00AC20A1">
      <w:pPr>
        <w:spacing w:after="0" w:line="240" w:lineRule="auto"/>
        <w:rPr>
          <w:rFonts w:cs="Calibri"/>
          <w:b/>
          <w:sz w:val="24"/>
          <w:szCs w:val="24"/>
        </w:rPr>
      </w:pPr>
      <w:r w:rsidRPr="00C91E6E">
        <w:rPr>
          <w:rFonts w:cs="Calibri"/>
          <w:b/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7B97F4EF" wp14:editId="0F9C8178">
            <wp:simplePos x="0" y="0"/>
            <wp:positionH relativeFrom="column">
              <wp:posOffset>-95250</wp:posOffset>
            </wp:positionH>
            <wp:positionV relativeFrom="paragraph">
              <wp:posOffset>-196215</wp:posOffset>
            </wp:positionV>
            <wp:extent cx="1219200" cy="963168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g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9631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D01A87" w14:textId="77777777" w:rsidR="0054227E" w:rsidRPr="00C91E6E" w:rsidRDefault="0054227E" w:rsidP="00AC20A1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14:paraId="1B9655CE" w14:textId="77777777" w:rsidR="0013574E" w:rsidRPr="00C91E6E" w:rsidRDefault="0013574E" w:rsidP="00AC20A1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14:paraId="7166927B" w14:textId="77777777" w:rsidR="0013574E" w:rsidRPr="00C91E6E" w:rsidRDefault="0013574E" w:rsidP="00AC20A1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14:paraId="070E5FF0" w14:textId="77777777" w:rsidR="0013574E" w:rsidRPr="00C91E6E" w:rsidRDefault="0013574E" w:rsidP="00AC20A1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14:paraId="4D83395A" w14:textId="77777777" w:rsidR="0013574E" w:rsidRPr="00C91E6E" w:rsidRDefault="0013574E" w:rsidP="00AC20A1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14:paraId="2EB08DB8" w14:textId="77777777" w:rsidR="006C735A" w:rsidRPr="00C91E6E" w:rsidRDefault="006C735A" w:rsidP="00AC20A1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C91E6E">
        <w:rPr>
          <w:rFonts w:cs="Calibri"/>
          <w:b/>
          <w:sz w:val="24"/>
          <w:szCs w:val="24"/>
        </w:rPr>
        <w:t xml:space="preserve">ACG Announces </w:t>
      </w:r>
      <w:r w:rsidR="003E5B19" w:rsidRPr="00C91E6E">
        <w:rPr>
          <w:rFonts w:cs="Calibri"/>
          <w:b/>
          <w:sz w:val="24"/>
          <w:szCs w:val="24"/>
        </w:rPr>
        <w:t>20</w:t>
      </w:r>
      <w:r w:rsidR="00241BBD" w:rsidRPr="00C91E6E">
        <w:rPr>
          <w:rFonts w:cs="Calibri"/>
          <w:b/>
          <w:sz w:val="24"/>
          <w:szCs w:val="24"/>
        </w:rPr>
        <w:t>2</w:t>
      </w:r>
      <w:r w:rsidR="00502875" w:rsidRPr="00C91E6E">
        <w:rPr>
          <w:rFonts w:cs="Calibri"/>
          <w:b/>
          <w:sz w:val="24"/>
          <w:szCs w:val="24"/>
        </w:rPr>
        <w:t>1</w:t>
      </w:r>
      <w:r w:rsidR="003E5B19" w:rsidRPr="00C91E6E">
        <w:rPr>
          <w:rFonts w:cs="Calibri"/>
          <w:b/>
          <w:sz w:val="24"/>
          <w:szCs w:val="24"/>
        </w:rPr>
        <w:t xml:space="preserve"> Corporate Growth Award</w:t>
      </w:r>
      <w:r w:rsidR="00307111" w:rsidRPr="00C91E6E">
        <w:rPr>
          <w:rFonts w:cs="Calibri"/>
          <w:b/>
          <w:sz w:val="24"/>
          <w:szCs w:val="24"/>
        </w:rPr>
        <w:t xml:space="preserve"> Winner</w:t>
      </w:r>
      <w:r w:rsidR="003E5B19" w:rsidRPr="00C91E6E">
        <w:rPr>
          <w:rFonts w:cs="Calibri"/>
          <w:b/>
          <w:sz w:val="24"/>
          <w:szCs w:val="24"/>
        </w:rPr>
        <w:t>s</w:t>
      </w:r>
    </w:p>
    <w:p w14:paraId="2148704C" w14:textId="77777777" w:rsidR="00B44C6F" w:rsidRPr="00C91E6E" w:rsidRDefault="00B44C6F" w:rsidP="00AC20A1">
      <w:pPr>
        <w:spacing w:after="0" w:line="240" w:lineRule="auto"/>
        <w:jc w:val="center"/>
        <w:rPr>
          <w:rFonts w:cs="Calibri"/>
          <w:b/>
          <w:i/>
          <w:sz w:val="24"/>
          <w:szCs w:val="24"/>
        </w:rPr>
      </w:pPr>
    </w:p>
    <w:p w14:paraId="7308CF8D" w14:textId="3D14644E" w:rsidR="0054227E" w:rsidRPr="00C91E6E" w:rsidRDefault="006C735A" w:rsidP="00AC20A1">
      <w:pPr>
        <w:spacing w:after="0" w:line="240" w:lineRule="auto"/>
        <w:jc w:val="center"/>
        <w:rPr>
          <w:rFonts w:cs="Calibri"/>
          <w:b/>
          <w:i/>
          <w:sz w:val="24"/>
          <w:szCs w:val="24"/>
        </w:rPr>
      </w:pPr>
      <w:r w:rsidRPr="00C91E6E">
        <w:rPr>
          <w:rFonts w:cs="Calibri"/>
          <w:b/>
          <w:i/>
          <w:sz w:val="24"/>
          <w:szCs w:val="24"/>
        </w:rPr>
        <w:t>Region’s leading businesses, executive teams, and transformational deals honored.</w:t>
      </w:r>
    </w:p>
    <w:p w14:paraId="340F3A0D" w14:textId="77777777" w:rsidR="0054227E" w:rsidRPr="00C91E6E" w:rsidRDefault="0054227E" w:rsidP="00AC20A1">
      <w:pPr>
        <w:spacing w:after="0" w:line="240" w:lineRule="auto"/>
        <w:rPr>
          <w:rFonts w:cs="Calibri"/>
          <w:b/>
          <w:i/>
          <w:sz w:val="24"/>
          <w:szCs w:val="24"/>
        </w:rPr>
      </w:pPr>
    </w:p>
    <w:p w14:paraId="4732D8DE" w14:textId="77777777" w:rsidR="0013574E" w:rsidRPr="00C91E6E" w:rsidRDefault="0013574E" w:rsidP="00AC20A1">
      <w:pPr>
        <w:spacing w:after="0" w:line="240" w:lineRule="auto"/>
        <w:rPr>
          <w:rFonts w:cs="Calibri"/>
          <w:b/>
          <w:i/>
          <w:sz w:val="24"/>
          <w:szCs w:val="24"/>
        </w:rPr>
      </w:pPr>
    </w:p>
    <w:p w14:paraId="04B695D1" w14:textId="77777777" w:rsidR="0013574E" w:rsidRPr="00C91E6E" w:rsidRDefault="0013574E" w:rsidP="00AC20A1">
      <w:pPr>
        <w:tabs>
          <w:tab w:val="left" w:pos="1080"/>
          <w:tab w:val="left" w:pos="6480"/>
        </w:tabs>
        <w:spacing w:after="0" w:line="240" w:lineRule="auto"/>
        <w:rPr>
          <w:rFonts w:cs="Calibri"/>
          <w:sz w:val="24"/>
          <w:szCs w:val="24"/>
        </w:rPr>
      </w:pPr>
      <w:r w:rsidRPr="00C91E6E">
        <w:rPr>
          <w:rFonts w:cs="Calibri"/>
          <w:sz w:val="24"/>
          <w:szCs w:val="24"/>
        </w:rPr>
        <w:t>Contact:</w:t>
      </w:r>
      <w:r w:rsidRPr="00C91E6E">
        <w:rPr>
          <w:rFonts w:cs="Calibri"/>
          <w:sz w:val="24"/>
          <w:szCs w:val="24"/>
        </w:rPr>
        <w:tab/>
        <w:t>Ryan Schradin</w:t>
      </w:r>
    </w:p>
    <w:p w14:paraId="6B9E2C3E" w14:textId="77777777" w:rsidR="0013574E" w:rsidRPr="00C91E6E" w:rsidRDefault="0013574E" w:rsidP="00AC20A1">
      <w:pPr>
        <w:tabs>
          <w:tab w:val="left" w:pos="1080"/>
          <w:tab w:val="left" w:pos="6480"/>
        </w:tabs>
        <w:spacing w:after="0" w:line="240" w:lineRule="auto"/>
        <w:rPr>
          <w:rFonts w:cs="Calibri"/>
          <w:sz w:val="24"/>
          <w:szCs w:val="24"/>
        </w:rPr>
      </w:pPr>
      <w:r w:rsidRPr="00C91E6E">
        <w:rPr>
          <w:rFonts w:cs="Calibri"/>
          <w:sz w:val="24"/>
          <w:szCs w:val="24"/>
        </w:rPr>
        <w:tab/>
      </w:r>
      <w:r w:rsidR="004B6AB4" w:rsidRPr="00C91E6E">
        <w:rPr>
          <w:rFonts w:cs="Calibri"/>
          <w:sz w:val="24"/>
          <w:szCs w:val="24"/>
        </w:rPr>
        <w:t>732</w:t>
      </w:r>
      <w:r w:rsidRPr="00C91E6E">
        <w:rPr>
          <w:rFonts w:cs="Calibri"/>
          <w:sz w:val="24"/>
          <w:szCs w:val="24"/>
        </w:rPr>
        <w:t>-</w:t>
      </w:r>
      <w:r w:rsidR="004B6AB4" w:rsidRPr="00C91E6E">
        <w:rPr>
          <w:rFonts w:cs="Calibri"/>
          <w:sz w:val="24"/>
          <w:szCs w:val="24"/>
        </w:rPr>
        <w:t>580</w:t>
      </w:r>
      <w:r w:rsidRPr="00C91E6E">
        <w:rPr>
          <w:rFonts w:cs="Calibri"/>
          <w:sz w:val="24"/>
          <w:szCs w:val="24"/>
        </w:rPr>
        <w:t>-</w:t>
      </w:r>
      <w:r w:rsidR="004B6AB4" w:rsidRPr="00C91E6E">
        <w:rPr>
          <w:rFonts w:cs="Calibri"/>
          <w:sz w:val="24"/>
          <w:szCs w:val="24"/>
        </w:rPr>
        <w:t>7637</w:t>
      </w:r>
    </w:p>
    <w:p w14:paraId="2E144501" w14:textId="77777777" w:rsidR="0013574E" w:rsidRPr="00C91E6E" w:rsidRDefault="0013574E" w:rsidP="00AC20A1">
      <w:pPr>
        <w:tabs>
          <w:tab w:val="left" w:pos="1080"/>
        </w:tabs>
        <w:spacing w:after="0" w:line="240" w:lineRule="auto"/>
        <w:rPr>
          <w:rFonts w:cs="Calibri"/>
          <w:sz w:val="24"/>
          <w:szCs w:val="24"/>
        </w:rPr>
      </w:pPr>
      <w:r w:rsidRPr="00C91E6E">
        <w:rPr>
          <w:rFonts w:cs="Calibri"/>
          <w:sz w:val="24"/>
          <w:szCs w:val="24"/>
        </w:rPr>
        <w:tab/>
        <w:t>rschradin@gotostrategic.com</w:t>
      </w:r>
    </w:p>
    <w:p w14:paraId="5AA80237" w14:textId="77777777" w:rsidR="0013574E" w:rsidRPr="00C91E6E" w:rsidRDefault="0013574E" w:rsidP="00AC20A1">
      <w:pPr>
        <w:spacing w:after="0" w:line="240" w:lineRule="auto"/>
        <w:rPr>
          <w:rFonts w:cs="Calibri"/>
          <w:b/>
          <w:i/>
          <w:sz w:val="24"/>
          <w:szCs w:val="24"/>
        </w:rPr>
      </w:pPr>
    </w:p>
    <w:p w14:paraId="7A69E36D" w14:textId="77777777" w:rsidR="001B4C67" w:rsidRPr="00C91E6E" w:rsidRDefault="001B4C67" w:rsidP="00AC20A1">
      <w:pPr>
        <w:spacing w:after="0" w:line="240" w:lineRule="auto"/>
        <w:rPr>
          <w:rFonts w:cs="Calibri"/>
          <w:b/>
          <w:i/>
          <w:sz w:val="24"/>
          <w:szCs w:val="24"/>
        </w:rPr>
      </w:pPr>
    </w:p>
    <w:p w14:paraId="4B46B892" w14:textId="77777777" w:rsidR="00EC648A" w:rsidRPr="00C91E6E" w:rsidRDefault="00335D38" w:rsidP="00AC20A1">
      <w:pPr>
        <w:spacing w:after="0" w:line="240" w:lineRule="auto"/>
        <w:rPr>
          <w:rFonts w:cs="Calibri"/>
          <w:b/>
          <w:bCs/>
          <w:i/>
          <w:iCs/>
          <w:sz w:val="24"/>
          <w:szCs w:val="24"/>
        </w:rPr>
      </w:pPr>
      <w:r w:rsidRPr="00C91E6E">
        <w:rPr>
          <w:rFonts w:cs="Calibri"/>
          <w:b/>
          <w:bCs/>
          <w:i/>
          <w:iCs/>
          <w:sz w:val="24"/>
          <w:szCs w:val="24"/>
        </w:rPr>
        <w:t xml:space="preserve">DRAFT – NOT </w:t>
      </w:r>
      <w:r w:rsidR="001B4C67" w:rsidRPr="00C91E6E">
        <w:rPr>
          <w:rFonts w:cs="Calibri"/>
          <w:b/>
          <w:bCs/>
          <w:i/>
          <w:iCs/>
          <w:sz w:val="24"/>
          <w:szCs w:val="24"/>
        </w:rPr>
        <w:t>FOR IMMEDIATE RELEASE</w:t>
      </w:r>
    </w:p>
    <w:p w14:paraId="73238922" w14:textId="77777777" w:rsidR="001B4C67" w:rsidRPr="00C91E6E" w:rsidRDefault="001B4C67" w:rsidP="00AC20A1">
      <w:pPr>
        <w:spacing w:after="0" w:line="240" w:lineRule="auto"/>
        <w:rPr>
          <w:rFonts w:cs="Calibri"/>
          <w:b/>
          <w:bCs/>
          <w:i/>
          <w:iCs/>
          <w:sz w:val="24"/>
          <w:szCs w:val="24"/>
        </w:rPr>
      </w:pPr>
    </w:p>
    <w:p w14:paraId="3550E439" w14:textId="77777777" w:rsidR="001B4C67" w:rsidRPr="00C91E6E" w:rsidRDefault="001B4C67" w:rsidP="00AC20A1">
      <w:pPr>
        <w:spacing w:after="0" w:line="240" w:lineRule="auto"/>
        <w:rPr>
          <w:rFonts w:cs="Calibri"/>
          <w:b/>
          <w:bCs/>
          <w:i/>
          <w:iCs/>
          <w:sz w:val="24"/>
          <w:szCs w:val="24"/>
        </w:rPr>
      </w:pPr>
    </w:p>
    <w:p w14:paraId="359FAD22" w14:textId="512D6A66" w:rsidR="00DD2291" w:rsidRPr="00C91E6E" w:rsidRDefault="00EC648A" w:rsidP="00AC20A1">
      <w:pPr>
        <w:spacing w:after="0" w:line="240" w:lineRule="auto"/>
        <w:rPr>
          <w:rFonts w:cs="Calibri"/>
          <w:sz w:val="24"/>
          <w:szCs w:val="24"/>
        </w:rPr>
      </w:pPr>
      <w:r w:rsidRPr="00C91E6E">
        <w:rPr>
          <w:rFonts w:cs="Calibri"/>
          <w:b/>
          <w:bCs/>
          <w:sz w:val="24"/>
          <w:szCs w:val="24"/>
        </w:rPr>
        <w:t>McLean, Virginia</w:t>
      </w:r>
      <w:r w:rsidRPr="00C91E6E">
        <w:rPr>
          <w:rFonts w:cs="Calibri"/>
          <w:sz w:val="24"/>
          <w:szCs w:val="24"/>
        </w:rPr>
        <w:t xml:space="preserve"> – </w:t>
      </w:r>
      <w:r w:rsidR="00241BBD" w:rsidRPr="00C91E6E">
        <w:rPr>
          <w:rFonts w:cs="Calibri"/>
          <w:b/>
          <w:bCs/>
          <w:sz w:val="24"/>
          <w:szCs w:val="24"/>
        </w:rPr>
        <w:t>September</w:t>
      </w:r>
      <w:r w:rsidRPr="00C91E6E">
        <w:rPr>
          <w:rFonts w:cs="Calibri"/>
          <w:b/>
          <w:bCs/>
          <w:sz w:val="24"/>
          <w:szCs w:val="24"/>
        </w:rPr>
        <w:t xml:space="preserve"> </w:t>
      </w:r>
      <w:r w:rsidR="006C735A" w:rsidRPr="00C91E6E">
        <w:rPr>
          <w:rFonts w:cs="Calibri"/>
          <w:b/>
          <w:bCs/>
          <w:sz w:val="24"/>
          <w:szCs w:val="24"/>
        </w:rPr>
        <w:t>9</w:t>
      </w:r>
      <w:r w:rsidRPr="00C91E6E">
        <w:rPr>
          <w:rFonts w:cs="Calibri"/>
          <w:b/>
          <w:bCs/>
          <w:sz w:val="24"/>
          <w:szCs w:val="24"/>
        </w:rPr>
        <w:t>, 20</w:t>
      </w:r>
      <w:r w:rsidR="00241BBD" w:rsidRPr="00C91E6E">
        <w:rPr>
          <w:rFonts w:cs="Calibri"/>
          <w:b/>
          <w:bCs/>
          <w:sz w:val="24"/>
          <w:szCs w:val="24"/>
        </w:rPr>
        <w:t>2</w:t>
      </w:r>
      <w:r w:rsidR="006C735A" w:rsidRPr="00C91E6E">
        <w:rPr>
          <w:rFonts w:cs="Calibri"/>
          <w:b/>
          <w:bCs/>
          <w:sz w:val="24"/>
          <w:szCs w:val="24"/>
        </w:rPr>
        <w:t>1</w:t>
      </w:r>
      <w:r w:rsidRPr="00C91E6E">
        <w:rPr>
          <w:rFonts w:cs="Calibri"/>
          <w:sz w:val="24"/>
          <w:szCs w:val="24"/>
        </w:rPr>
        <w:t xml:space="preserve"> –</w:t>
      </w:r>
      <w:r w:rsidR="00DD2291" w:rsidRPr="00C91E6E">
        <w:rPr>
          <w:rFonts w:cs="Calibri"/>
          <w:sz w:val="24"/>
          <w:szCs w:val="24"/>
        </w:rPr>
        <w:t xml:space="preserve">ACG National Capital, </w:t>
      </w:r>
      <w:r w:rsidR="00956065" w:rsidRPr="00C91E6E">
        <w:rPr>
          <w:rFonts w:cs="Calibri"/>
          <w:sz w:val="24"/>
          <w:szCs w:val="24"/>
        </w:rPr>
        <w:t>the region’s preeminent association for corporate professionals with a focus on M&amp;A within the middle market</w:t>
      </w:r>
      <w:r w:rsidR="00DD2291" w:rsidRPr="00C91E6E">
        <w:rPr>
          <w:rFonts w:cs="Calibri"/>
          <w:sz w:val="24"/>
          <w:szCs w:val="24"/>
        </w:rPr>
        <w:t>,</w:t>
      </w:r>
      <w:r w:rsidR="00241BBD" w:rsidRPr="00C91E6E">
        <w:rPr>
          <w:rFonts w:cs="Calibri"/>
          <w:sz w:val="24"/>
          <w:szCs w:val="24"/>
        </w:rPr>
        <w:t xml:space="preserve"> </w:t>
      </w:r>
      <w:r w:rsidR="00DD2291" w:rsidRPr="00C91E6E">
        <w:rPr>
          <w:rFonts w:cs="Calibri"/>
          <w:sz w:val="24"/>
          <w:szCs w:val="24"/>
        </w:rPr>
        <w:t xml:space="preserve">presented Corporate Growth Awards to the region’s </w:t>
      </w:r>
      <w:r w:rsidR="006C735A" w:rsidRPr="00C91E6E">
        <w:rPr>
          <w:rFonts w:cs="Calibri"/>
          <w:sz w:val="24"/>
          <w:szCs w:val="24"/>
        </w:rPr>
        <w:t>most transformational</w:t>
      </w:r>
      <w:r w:rsidR="00DD2291" w:rsidRPr="00C91E6E">
        <w:rPr>
          <w:rFonts w:cs="Calibri"/>
          <w:sz w:val="24"/>
          <w:szCs w:val="24"/>
        </w:rPr>
        <w:t xml:space="preserve"> deals, top </w:t>
      </w:r>
      <w:proofErr w:type="gramStart"/>
      <w:r w:rsidR="00DD2291" w:rsidRPr="00C91E6E">
        <w:rPr>
          <w:rFonts w:cs="Calibri"/>
          <w:sz w:val="24"/>
          <w:szCs w:val="24"/>
        </w:rPr>
        <w:t>executives</w:t>
      </w:r>
      <w:proofErr w:type="gramEnd"/>
      <w:r w:rsidR="00DD2291" w:rsidRPr="00C91E6E">
        <w:rPr>
          <w:rFonts w:cs="Calibri"/>
          <w:sz w:val="24"/>
          <w:szCs w:val="24"/>
        </w:rPr>
        <w:t xml:space="preserve"> and fastest growing companies</w:t>
      </w:r>
      <w:r w:rsidR="006C735A" w:rsidRPr="00C91E6E">
        <w:rPr>
          <w:rFonts w:cs="Calibri"/>
          <w:sz w:val="24"/>
          <w:szCs w:val="24"/>
        </w:rPr>
        <w:t xml:space="preserve"> at last night’s annual Corporate Growth Award Gala</w:t>
      </w:r>
      <w:r w:rsidR="00DD2291" w:rsidRPr="00C91E6E">
        <w:rPr>
          <w:rFonts w:cs="Calibri"/>
          <w:sz w:val="24"/>
          <w:szCs w:val="24"/>
        </w:rPr>
        <w:t>.</w:t>
      </w:r>
    </w:p>
    <w:p w14:paraId="286981D2" w14:textId="77777777" w:rsidR="00DD2291" w:rsidRPr="00C91E6E" w:rsidRDefault="00DD2291" w:rsidP="00AC20A1">
      <w:pPr>
        <w:spacing w:after="0" w:line="240" w:lineRule="auto"/>
        <w:rPr>
          <w:rFonts w:cs="Calibri"/>
          <w:sz w:val="24"/>
          <w:szCs w:val="24"/>
        </w:rPr>
      </w:pPr>
    </w:p>
    <w:p w14:paraId="7B5036BF" w14:textId="3137055E" w:rsidR="003E5B19" w:rsidRPr="00C91E6E" w:rsidRDefault="00AC20A1" w:rsidP="00AC20A1">
      <w:pPr>
        <w:spacing w:after="0" w:line="240" w:lineRule="auto"/>
        <w:rPr>
          <w:rFonts w:cs="Calibri"/>
          <w:sz w:val="24"/>
          <w:szCs w:val="24"/>
        </w:rPr>
      </w:pPr>
      <w:r w:rsidRPr="00C91E6E">
        <w:rPr>
          <w:rFonts w:cs="Calibri"/>
          <w:sz w:val="24"/>
          <w:szCs w:val="24"/>
        </w:rPr>
        <w:t>ACG National Capital</w:t>
      </w:r>
      <w:r w:rsidR="006C735A" w:rsidRPr="00C91E6E">
        <w:rPr>
          <w:rFonts w:cs="Calibri"/>
          <w:sz w:val="24"/>
          <w:szCs w:val="24"/>
        </w:rPr>
        <w:t>’s Corporate Growth Awards</w:t>
      </w:r>
      <w:r w:rsidR="00DD2291" w:rsidRPr="00C91E6E">
        <w:rPr>
          <w:rFonts w:cs="Calibri"/>
          <w:sz w:val="24"/>
          <w:szCs w:val="24"/>
        </w:rPr>
        <w:t xml:space="preserve"> celebrat</w:t>
      </w:r>
      <w:r w:rsidR="006C735A" w:rsidRPr="00C91E6E">
        <w:rPr>
          <w:rFonts w:cs="Calibri"/>
          <w:sz w:val="24"/>
          <w:szCs w:val="24"/>
        </w:rPr>
        <w:t>e</w:t>
      </w:r>
      <w:r w:rsidR="00DD2291" w:rsidRPr="00C91E6E">
        <w:rPr>
          <w:rFonts w:cs="Calibri"/>
          <w:sz w:val="24"/>
          <w:szCs w:val="24"/>
        </w:rPr>
        <w:t xml:space="preserve"> </w:t>
      </w:r>
      <w:r w:rsidR="006C735A" w:rsidRPr="00C91E6E">
        <w:rPr>
          <w:rFonts w:cs="Calibri"/>
          <w:sz w:val="24"/>
          <w:szCs w:val="24"/>
        </w:rPr>
        <w:t xml:space="preserve">the </w:t>
      </w:r>
      <w:r w:rsidR="00DD2291" w:rsidRPr="00C91E6E">
        <w:rPr>
          <w:rFonts w:cs="Calibri"/>
          <w:sz w:val="24"/>
          <w:szCs w:val="24"/>
        </w:rPr>
        <w:t>business leaders</w:t>
      </w:r>
      <w:r w:rsidR="0045775F" w:rsidRPr="00C91E6E">
        <w:rPr>
          <w:rFonts w:cs="Calibri"/>
          <w:sz w:val="24"/>
          <w:szCs w:val="24"/>
        </w:rPr>
        <w:t>, deal teams</w:t>
      </w:r>
      <w:r w:rsidR="001928FA" w:rsidRPr="00C91E6E">
        <w:rPr>
          <w:rFonts w:cs="Calibri"/>
          <w:sz w:val="24"/>
          <w:szCs w:val="24"/>
        </w:rPr>
        <w:t xml:space="preserve"> and companies that </w:t>
      </w:r>
      <w:r w:rsidR="006C735A" w:rsidRPr="00C91E6E">
        <w:rPr>
          <w:rFonts w:cs="Calibri"/>
          <w:sz w:val="24"/>
          <w:szCs w:val="24"/>
        </w:rPr>
        <w:t xml:space="preserve">make the national capital region and its business community one of the fastest growing, </w:t>
      </w:r>
      <w:proofErr w:type="gramStart"/>
      <w:r w:rsidR="006C735A" w:rsidRPr="00C91E6E">
        <w:rPr>
          <w:rFonts w:cs="Calibri"/>
          <w:sz w:val="24"/>
          <w:szCs w:val="24"/>
        </w:rPr>
        <w:t>successful</w:t>
      </w:r>
      <w:proofErr w:type="gramEnd"/>
      <w:r w:rsidR="006C735A" w:rsidRPr="00C91E6E">
        <w:rPr>
          <w:rFonts w:cs="Calibri"/>
          <w:sz w:val="24"/>
          <w:szCs w:val="24"/>
        </w:rPr>
        <w:t xml:space="preserve"> and most active in the nation. The annual Corporate Growth Awards are presented to the executives, companies and deal teams that were</w:t>
      </w:r>
      <w:r w:rsidR="001928FA" w:rsidRPr="00C91E6E">
        <w:rPr>
          <w:rFonts w:cs="Calibri"/>
          <w:sz w:val="24"/>
          <w:szCs w:val="24"/>
        </w:rPr>
        <w:t xml:space="preserve"> individually selected </w:t>
      </w:r>
      <w:r w:rsidR="006C735A" w:rsidRPr="00C91E6E">
        <w:rPr>
          <w:rFonts w:cs="Calibri"/>
          <w:sz w:val="24"/>
          <w:szCs w:val="24"/>
        </w:rPr>
        <w:t xml:space="preserve">by the chapter’s Awards Committee from a long list of nominations and finalists </w:t>
      </w:r>
      <w:r w:rsidR="001928FA" w:rsidRPr="00C91E6E">
        <w:rPr>
          <w:rFonts w:cs="Calibri"/>
          <w:sz w:val="24"/>
          <w:szCs w:val="24"/>
        </w:rPr>
        <w:t>for their accomplishments in crafting and executing on successful growth strategies and deals.</w:t>
      </w:r>
    </w:p>
    <w:p w14:paraId="4F5127A2" w14:textId="77777777" w:rsidR="003E5B19" w:rsidRPr="00C91E6E" w:rsidRDefault="003E5B19" w:rsidP="00AC20A1">
      <w:pPr>
        <w:spacing w:after="0" w:line="240" w:lineRule="auto"/>
        <w:rPr>
          <w:rFonts w:cs="Calibri"/>
          <w:sz w:val="24"/>
          <w:szCs w:val="24"/>
        </w:rPr>
      </w:pPr>
    </w:p>
    <w:p w14:paraId="08DCE567" w14:textId="506DAAA0" w:rsidR="00956065" w:rsidRPr="00C91E6E" w:rsidRDefault="00956065" w:rsidP="00956065">
      <w:pPr>
        <w:spacing w:after="0" w:line="240" w:lineRule="auto"/>
        <w:rPr>
          <w:rFonts w:cs="Calibri"/>
          <w:sz w:val="24"/>
          <w:szCs w:val="24"/>
        </w:rPr>
      </w:pPr>
      <w:r w:rsidRPr="00C91E6E">
        <w:rPr>
          <w:rFonts w:cs="Calibri"/>
          <w:sz w:val="24"/>
          <w:szCs w:val="24"/>
        </w:rPr>
        <w:t>“</w:t>
      </w:r>
      <w:r w:rsidR="006C735A" w:rsidRPr="00C91E6E">
        <w:rPr>
          <w:rFonts w:cs="Calibri"/>
          <w:sz w:val="24"/>
          <w:szCs w:val="24"/>
        </w:rPr>
        <w:t>The National Capital region is one of the country’s best places to do business, and home to some of the most exciting, innovative and fastest growing companies in the nation</w:t>
      </w:r>
      <w:r w:rsidRPr="00C91E6E">
        <w:rPr>
          <w:rFonts w:cs="Calibri"/>
          <w:sz w:val="24"/>
          <w:szCs w:val="24"/>
        </w:rPr>
        <w:t xml:space="preserve">,” said </w:t>
      </w:r>
      <w:r w:rsidR="009E6846" w:rsidRPr="009E6846">
        <w:rPr>
          <w:rFonts w:cs="Calibri"/>
          <w:sz w:val="24"/>
          <w:szCs w:val="24"/>
        </w:rPr>
        <w:t>Mandy Wheat</w:t>
      </w:r>
      <w:r w:rsidR="009E6846">
        <w:rPr>
          <w:rFonts w:cs="Calibri"/>
          <w:sz w:val="24"/>
          <w:szCs w:val="24"/>
        </w:rPr>
        <w:t>,</w:t>
      </w:r>
      <w:r w:rsidR="009E6846" w:rsidRPr="00C91E6E">
        <w:rPr>
          <w:rFonts w:cs="Calibri"/>
          <w:sz w:val="24"/>
          <w:szCs w:val="24"/>
        </w:rPr>
        <w:t xml:space="preserve"> </w:t>
      </w:r>
      <w:r w:rsidRPr="00C91E6E">
        <w:rPr>
          <w:rFonts w:cs="Calibri"/>
          <w:sz w:val="24"/>
          <w:szCs w:val="24"/>
        </w:rPr>
        <w:t>the 202</w:t>
      </w:r>
      <w:r w:rsidR="006C735A" w:rsidRPr="00C91E6E">
        <w:rPr>
          <w:rFonts w:cs="Calibri"/>
          <w:sz w:val="24"/>
          <w:szCs w:val="24"/>
        </w:rPr>
        <w:t>1</w:t>
      </w:r>
      <w:r w:rsidRPr="00C91E6E">
        <w:rPr>
          <w:rFonts w:cs="Calibri"/>
          <w:sz w:val="24"/>
          <w:szCs w:val="24"/>
        </w:rPr>
        <w:t xml:space="preserve"> Corporate Growth Awards Committee Chair and</w:t>
      </w:r>
      <w:r w:rsidR="009E6846">
        <w:rPr>
          <w:rFonts w:cs="Calibri"/>
          <w:sz w:val="24"/>
          <w:szCs w:val="24"/>
        </w:rPr>
        <w:t xml:space="preserve"> a</w:t>
      </w:r>
      <w:r w:rsidR="009E6846" w:rsidRPr="009E6846">
        <w:rPr>
          <w:rFonts w:cs="Calibri"/>
          <w:sz w:val="24"/>
          <w:szCs w:val="24"/>
        </w:rPr>
        <w:t xml:space="preserve"> Partner</w:t>
      </w:r>
      <w:r w:rsidR="009E6846">
        <w:rPr>
          <w:rFonts w:cs="Calibri"/>
          <w:sz w:val="24"/>
          <w:szCs w:val="24"/>
        </w:rPr>
        <w:t xml:space="preserve"> at</w:t>
      </w:r>
      <w:r w:rsidR="009E6846" w:rsidRPr="009E6846">
        <w:rPr>
          <w:rFonts w:cs="Calibri"/>
          <w:sz w:val="24"/>
          <w:szCs w:val="24"/>
        </w:rPr>
        <w:t xml:space="preserve"> RSM US</w:t>
      </w:r>
      <w:r w:rsidRPr="00C91E6E">
        <w:rPr>
          <w:rFonts w:cs="Calibri"/>
          <w:sz w:val="24"/>
          <w:szCs w:val="24"/>
        </w:rPr>
        <w:t>. “</w:t>
      </w:r>
      <w:r w:rsidR="006C735A" w:rsidRPr="00C91E6E">
        <w:rPr>
          <w:rFonts w:cs="Calibri"/>
          <w:sz w:val="24"/>
          <w:szCs w:val="24"/>
        </w:rPr>
        <w:t>Despite the challenges that corporations faced in 2020, our region’s business community continue</w:t>
      </w:r>
      <w:r w:rsidR="00C91E6E" w:rsidRPr="00C91E6E">
        <w:rPr>
          <w:rFonts w:cs="Calibri"/>
          <w:sz w:val="24"/>
          <w:szCs w:val="24"/>
        </w:rPr>
        <w:t>d</w:t>
      </w:r>
      <w:r w:rsidR="006C735A" w:rsidRPr="00C91E6E">
        <w:rPr>
          <w:rFonts w:cs="Calibri"/>
          <w:sz w:val="24"/>
          <w:szCs w:val="24"/>
        </w:rPr>
        <w:t xml:space="preserve"> to thrive, and deal activity continued. We’re honored to recognize the individuals, teams and enterprises that</w:t>
      </w:r>
      <w:r w:rsidR="00C91E6E" w:rsidRPr="00C91E6E">
        <w:rPr>
          <w:rFonts w:cs="Calibri"/>
          <w:sz w:val="24"/>
          <w:szCs w:val="24"/>
        </w:rPr>
        <w:t xml:space="preserve"> epitomized the spirit of this region’s incredible growth community.</w:t>
      </w:r>
      <w:r w:rsidRPr="00C91E6E">
        <w:rPr>
          <w:rFonts w:cs="Calibri"/>
          <w:sz w:val="24"/>
          <w:szCs w:val="24"/>
        </w:rPr>
        <w:t>”</w:t>
      </w:r>
    </w:p>
    <w:p w14:paraId="0689EEA7" w14:textId="77777777" w:rsidR="00956065" w:rsidRPr="00C91E6E" w:rsidRDefault="00956065" w:rsidP="003E5B19">
      <w:pPr>
        <w:spacing w:after="0" w:line="240" w:lineRule="auto"/>
        <w:rPr>
          <w:rFonts w:cs="Calibri"/>
          <w:sz w:val="24"/>
          <w:szCs w:val="24"/>
        </w:rPr>
      </w:pPr>
    </w:p>
    <w:p w14:paraId="02961860" w14:textId="54C30D67" w:rsidR="00EC648A" w:rsidRPr="00C91E6E" w:rsidRDefault="00F266E4" w:rsidP="00AC20A1">
      <w:pPr>
        <w:spacing w:after="0" w:line="240" w:lineRule="auto"/>
        <w:rPr>
          <w:rFonts w:cs="Calibri"/>
          <w:sz w:val="24"/>
          <w:szCs w:val="24"/>
        </w:rPr>
      </w:pPr>
      <w:r w:rsidRPr="00C91E6E">
        <w:rPr>
          <w:rFonts w:cs="Calibri"/>
          <w:sz w:val="24"/>
          <w:szCs w:val="24"/>
        </w:rPr>
        <w:t>The 20</w:t>
      </w:r>
      <w:r w:rsidR="001771E4" w:rsidRPr="00C91E6E">
        <w:rPr>
          <w:rFonts w:cs="Calibri"/>
          <w:sz w:val="24"/>
          <w:szCs w:val="24"/>
        </w:rPr>
        <w:t>2</w:t>
      </w:r>
      <w:r w:rsidR="00C91E6E" w:rsidRPr="00C91E6E">
        <w:rPr>
          <w:rFonts w:cs="Calibri"/>
          <w:sz w:val="24"/>
          <w:szCs w:val="24"/>
        </w:rPr>
        <w:t>1</w:t>
      </w:r>
      <w:r w:rsidRPr="00C91E6E">
        <w:rPr>
          <w:rFonts w:cs="Calibri"/>
          <w:sz w:val="24"/>
          <w:szCs w:val="24"/>
        </w:rPr>
        <w:t xml:space="preserve"> Corporate Growth Awards winners </w:t>
      </w:r>
      <w:r w:rsidR="00EC648A" w:rsidRPr="00C91E6E">
        <w:rPr>
          <w:rFonts w:cs="Calibri"/>
          <w:sz w:val="24"/>
          <w:szCs w:val="24"/>
        </w:rPr>
        <w:t>are:</w:t>
      </w:r>
    </w:p>
    <w:p w14:paraId="5331C55C" w14:textId="77777777" w:rsidR="00EC648A" w:rsidRPr="00C91E6E" w:rsidRDefault="00EC648A" w:rsidP="00AC20A1">
      <w:pPr>
        <w:spacing w:after="0" w:line="240" w:lineRule="auto"/>
        <w:rPr>
          <w:rFonts w:cs="Calibri"/>
          <w:sz w:val="24"/>
          <w:szCs w:val="24"/>
        </w:rPr>
      </w:pPr>
    </w:p>
    <w:p w14:paraId="2F4A7F31" w14:textId="77777777" w:rsidR="00C91E6E" w:rsidRPr="00C91E6E" w:rsidRDefault="00C91E6E" w:rsidP="00C91E6E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C91E6E">
        <w:rPr>
          <w:rFonts w:cstheme="minorHAnsi"/>
          <w:b/>
          <w:bCs/>
          <w:sz w:val="24"/>
          <w:szCs w:val="24"/>
        </w:rPr>
        <w:t xml:space="preserve">Deal of the Year (Under $50M): </w:t>
      </w:r>
      <w:r w:rsidRPr="00C91E6E">
        <w:rPr>
          <w:rFonts w:cstheme="minorHAnsi"/>
          <w:sz w:val="24"/>
          <w:szCs w:val="24"/>
        </w:rPr>
        <w:t>Camber Creek’s investment in Notarize (Series C)</w:t>
      </w:r>
    </w:p>
    <w:p w14:paraId="03A36848" w14:textId="77777777" w:rsidR="00C91E6E" w:rsidRPr="00C91E6E" w:rsidRDefault="00C91E6E" w:rsidP="00C91E6E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C91E6E">
        <w:rPr>
          <w:rFonts w:cstheme="minorHAnsi"/>
          <w:b/>
          <w:bCs/>
          <w:sz w:val="24"/>
          <w:szCs w:val="24"/>
        </w:rPr>
        <w:t xml:space="preserve">Deal of the Year (From $50M to $250M): </w:t>
      </w:r>
      <w:r w:rsidRPr="00C91E6E">
        <w:rPr>
          <w:rFonts w:cstheme="minorHAnsi"/>
          <w:sz w:val="24"/>
          <w:szCs w:val="24"/>
        </w:rPr>
        <w:t xml:space="preserve">The Carlyle Group’s acquisitions of IST Research &amp; Two Six Labs and subsequent merger to form Two Six Technologies </w:t>
      </w:r>
    </w:p>
    <w:p w14:paraId="20C73548" w14:textId="77777777" w:rsidR="00C91E6E" w:rsidRPr="00C91E6E" w:rsidRDefault="00C91E6E" w:rsidP="00C91E6E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C91E6E">
        <w:rPr>
          <w:rFonts w:cstheme="minorHAnsi"/>
          <w:b/>
          <w:bCs/>
          <w:sz w:val="24"/>
          <w:szCs w:val="24"/>
        </w:rPr>
        <w:t xml:space="preserve">Deal of the Year Over ($250M): </w:t>
      </w:r>
      <w:r w:rsidRPr="00C91E6E">
        <w:rPr>
          <w:rFonts w:cstheme="minorHAnsi"/>
          <w:sz w:val="24"/>
          <w:szCs w:val="24"/>
        </w:rPr>
        <w:t xml:space="preserve">ICF International’s Acquisition of Incentive Technology Group (ITG) </w:t>
      </w:r>
    </w:p>
    <w:p w14:paraId="6DE21B39" w14:textId="1553C321" w:rsidR="00C91E6E" w:rsidRPr="00C91E6E" w:rsidRDefault="00C91E6E" w:rsidP="00C91E6E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C91E6E">
        <w:rPr>
          <w:rFonts w:cstheme="minorHAnsi"/>
          <w:b/>
          <w:bCs/>
          <w:sz w:val="24"/>
          <w:szCs w:val="24"/>
        </w:rPr>
        <w:t>Deal Team (Private Company</w:t>
      </w:r>
      <w:r w:rsidRPr="00C91E6E">
        <w:rPr>
          <w:rFonts w:cstheme="minorHAnsi"/>
          <w:sz w:val="24"/>
          <w:szCs w:val="24"/>
        </w:rPr>
        <w:t>): Gunnison Consulting Group</w:t>
      </w:r>
    </w:p>
    <w:p w14:paraId="25B1A583" w14:textId="77777777" w:rsidR="00C91E6E" w:rsidRPr="00C91E6E" w:rsidRDefault="00C91E6E" w:rsidP="00C91E6E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C91E6E">
        <w:rPr>
          <w:rFonts w:cstheme="minorHAnsi"/>
          <w:b/>
          <w:bCs/>
          <w:sz w:val="24"/>
          <w:szCs w:val="24"/>
        </w:rPr>
        <w:t xml:space="preserve">Deal Team (Public Company): </w:t>
      </w:r>
      <w:r w:rsidRPr="00C91E6E">
        <w:rPr>
          <w:rFonts w:cstheme="minorHAnsi"/>
          <w:sz w:val="24"/>
          <w:szCs w:val="24"/>
        </w:rPr>
        <w:t xml:space="preserve">Huntington Ingalls Industries, Inc. </w:t>
      </w:r>
    </w:p>
    <w:p w14:paraId="47F6175E" w14:textId="77777777" w:rsidR="00C91E6E" w:rsidRPr="00C91E6E" w:rsidRDefault="00C91E6E" w:rsidP="00C91E6E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C91E6E">
        <w:rPr>
          <w:rFonts w:cstheme="minorHAnsi"/>
          <w:b/>
          <w:bCs/>
          <w:sz w:val="24"/>
          <w:szCs w:val="24"/>
        </w:rPr>
        <w:lastRenderedPageBreak/>
        <w:t xml:space="preserve">Deal Team (Private Equity or Venture Capital): </w:t>
      </w:r>
      <w:r w:rsidRPr="00C91E6E">
        <w:rPr>
          <w:rFonts w:cstheme="minorHAnsi"/>
          <w:sz w:val="24"/>
          <w:szCs w:val="24"/>
        </w:rPr>
        <w:t>Blue Delta Capital Partners</w:t>
      </w:r>
    </w:p>
    <w:p w14:paraId="1AA6342E" w14:textId="77777777" w:rsidR="00C91E6E" w:rsidRPr="00C91E6E" w:rsidRDefault="00C91E6E" w:rsidP="00C91E6E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C91E6E">
        <w:rPr>
          <w:rFonts w:cstheme="minorHAnsi"/>
          <w:b/>
          <w:bCs/>
          <w:sz w:val="24"/>
          <w:szCs w:val="24"/>
        </w:rPr>
        <w:t xml:space="preserve">Emerging Growth Company of the Year (Under $25M): </w:t>
      </w:r>
      <w:proofErr w:type="spellStart"/>
      <w:r w:rsidRPr="00C91E6E">
        <w:rPr>
          <w:rFonts w:cstheme="minorHAnsi"/>
          <w:sz w:val="24"/>
          <w:szCs w:val="24"/>
        </w:rPr>
        <w:t>Mindoula</w:t>
      </w:r>
      <w:proofErr w:type="spellEnd"/>
      <w:r w:rsidRPr="00C91E6E">
        <w:rPr>
          <w:rFonts w:cstheme="minorHAnsi"/>
          <w:sz w:val="24"/>
          <w:szCs w:val="24"/>
        </w:rPr>
        <w:t xml:space="preserve"> Health, Inc. </w:t>
      </w:r>
    </w:p>
    <w:p w14:paraId="6C6355E0" w14:textId="77777777" w:rsidR="00C91E6E" w:rsidRPr="00C91E6E" w:rsidRDefault="00C91E6E" w:rsidP="00C91E6E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C91E6E">
        <w:rPr>
          <w:rFonts w:cstheme="minorHAnsi"/>
          <w:b/>
          <w:bCs/>
          <w:sz w:val="24"/>
          <w:szCs w:val="24"/>
        </w:rPr>
        <w:t xml:space="preserve">Growth Company of the Year ($25M to $75M): </w:t>
      </w:r>
      <w:proofErr w:type="spellStart"/>
      <w:r w:rsidRPr="00C91E6E">
        <w:rPr>
          <w:rFonts w:cstheme="minorHAnsi"/>
          <w:sz w:val="24"/>
          <w:szCs w:val="24"/>
        </w:rPr>
        <w:t>BlackHorse</w:t>
      </w:r>
      <w:proofErr w:type="spellEnd"/>
      <w:r w:rsidRPr="00C91E6E">
        <w:rPr>
          <w:rFonts w:cstheme="minorHAnsi"/>
          <w:sz w:val="24"/>
          <w:szCs w:val="24"/>
        </w:rPr>
        <w:t xml:space="preserve"> Solutions, Inc. </w:t>
      </w:r>
    </w:p>
    <w:p w14:paraId="4C97C604" w14:textId="77777777" w:rsidR="00C91E6E" w:rsidRPr="00C91E6E" w:rsidRDefault="00C91E6E" w:rsidP="00C91E6E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C91E6E">
        <w:rPr>
          <w:rFonts w:cstheme="minorHAnsi"/>
          <w:b/>
          <w:bCs/>
          <w:sz w:val="24"/>
          <w:szCs w:val="24"/>
        </w:rPr>
        <w:t xml:space="preserve">Growth Company of the Year ($75 to $250M): </w:t>
      </w:r>
      <w:proofErr w:type="spellStart"/>
      <w:r w:rsidRPr="00C91E6E">
        <w:rPr>
          <w:rFonts w:cstheme="minorHAnsi"/>
          <w:sz w:val="24"/>
          <w:szCs w:val="24"/>
        </w:rPr>
        <w:t>Axiologic</w:t>
      </w:r>
      <w:proofErr w:type="spellEnd"/>
      <w:r w:rsidRPr="00C91E6E">
        <w:rPr>
          <w:rFonts w:cstheme="minorHAnsi"/>
          <w:sz w:val="24"/>
          <w:szCs w:val="24"/>
        </w:rPr>
        <w:t xml:space="preserve"> Solutions LLC</w:t>
      </w:r>
    </w:p>
    <w:p w14:paraId="54EA3363" w14:textId="75945527" w:rsidR="00C91E6E" w:rsidRPr="00C91E6E" w:rsidRDefault="00C91E6E" w:rsidP="00C91E6E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C91E6E">
        <w:rPr>
          <w:rFonts w:cstheme="minorHAnsi"/>
          <w:b/>
          <w:bCs/>
          <w:sz w:val="24"/>
          <w:szCs w:val="24"/>
        </w:rPr>
        <w:t xml:space="preserve">Growth Company of the Year (Over $250M): </w:t>
      </w:r>
      <w:proofErr w:type="spellStart"/>
      <w:r w:rsidRPr="00C91E6E">
        <w:rPr>
          <w:rFonts w:cstheme="minorHAnsi"/>
          <w:sz w:val="24"/>
          <w:szCs w:val="24"/>
        </w:rPr>
        <w:t>Dovel</w:t>
      </w:r>
      <w:proofErr w:type="spellEnd"/>
      <w:r w:rsidRPr="00C91E6E">
        <w:rPr>
          <w:rFonts w:cstheme="minorHAnsi"/>
          <w:sz w:val="24"/>
          <w:szCs w:val="24"/>
        </w:rPr>
        <w:t xml:space="preserve"> Technologies, Inc. </w:t>
      </w:r>
    </w:p>
    <w:p w14:paraId="35767929" w14:textId="77777777" w:rsidR="00F266E4" w:rsidRPr="00C91E6E" w:rsidRDefault="00F266E4" w:rsidP="00AC20A1">
      <w:pPr>
        <w:spacing w:after="0" w:line="240" w:lineRule="auto"/>
        <w:rPr>
          <w:rFonts w:cs="Calibri"/>
          <w:sz w:val="24"/>
          <w:szCs w:val="24"/>
        </w:rPr>
      </w:pPr>
    </w:p>
    <w:p w14:paraId="1D12F622" w14:textId="77777777" w:rsidR="00EC648A" w:rsidRPr="00C91E6E" w:rsidRDefault="00EC648A" w:rsidP="00AC20A1">
      <w:pPr>
        <w:spacing w:after="0" w:line="240" w:lineRule="auto"/>
        <w:rPr>
          <w:rFonts w:cs="Calibri"/>
          <w:b/>
          <w:bCs/>
          <w:sz w:val="24"/>
          <w:szCs w:val="24"/>
        </w:rPr>
      </w:pPr>
      <w:r w:rsidRPr="00C91E6E">
        <w:rPr>
          <w:rFonts w:cs="Calibri"/>
          <w:b/>
          <w:bCs/>
          <w:sz w:val="24"/>
          <w:szCs w:val="24"/>
        </w:rPr>
        <w:t>About ACG National Capital</w:t>
      </w:r>
    </w:p>
    <w:p w14:paraId="7B7940D4" w14:textId="002A278C" w:rsidR="008B7192" w:rsidRPr="00C91E6E" w:rsidRDefault="008B7192" w:rsidP="00DD2291">
      <w:pPr>
        <w:spacing w:after="0" w:line="240" w:lineRule="auto"/>
        <w:rPr>
          <w:rFonts w:cs="Calibri"/>
          <w:sz w:val="24"/>
          <w:szCs w:val="24"/>
        </w:rPr>
      </w:pPr>
      <w:r w:rsidRPr="00C91E6E">
        <w:rPr>
          <w:rFonts w:cs="Calibri"/>
          <w:sz w:val="24"/>
          <w:szCs w:val="24"/>
        </w:rPr>
        <w:t>ACG National Capital</w:t>
      </w:r>
      <w:r w:rsidR="00577008" w:rsidRPr="00C91E6E">
        <w:rPr>
          <w:rFonts w:cs="Calibri"/>
          <w:sz w:val="24"/>
          <w:szCs w:val="24"/>
        </w:rPr>
        <w:t xml:space="preserve"> is</w:t>
      </w:r>
      <w:r w:rsidRPr="00C91E6E">
        <w:rPr>
          <w:rFonts w:cs="Calibri"/>
          <w:sz w:val="24"/>
          <w:szCs w:val="24"/>
        </w:rPr>
        <w:t xml:space="preserve"> a chapter of the international association, ACG (Association for Corporate Growth) that serves Washington, D.C., </w:t>
      </w:r>
      <w:r w:rsidR="00C91E6E">
        <w:rPr>
          <w:rFonts w:cs="Calibri"/>
          <w:sz w:val="24"/>
          <w:szCs w:val="24"/>
        </w:rPr>
        <w:t>N</w:t>
      </w:r>
      <w:r w:rsidRPr="00C91E6E">
        <w:rPr>
          <w:rFonts w:cs="Calibri"/>
          <w:sz w:val="24"/>
          <w:szCs w:val="24"/>
        </w:rPr>
        <w:t xml:space="preserve">orthern </w:t>
      </w:r>
      <w:proofErr w:type="gramStart"/>
      <w:r w:rsidRPr="00C91E6E">
        <w:rPr>
          <w:rFonts w:cs="Calibri"/>
          <w:sz w:val="24"/>
          <w:szCs w:val="24"/>
        </w:rPr>
        <w:t>Virginia</w:t>
      </w:r>
      <w:proofErr w:type="gramEnd"/>
      <w:r w:rsidRPr="00C91E6E">
        <w:rPr>
          <w:rFonts w:cs="Calibri"/>
          <w:sz w:val="24"/>
          <w:szCs w:val="24"/>
        </w:rPr>
        <w:t xml:space="preserve"> and </w:t>
      </w:r>
      <w:r w:rsidR="00C91E6E">
        <w:rPr>
          <w:rFonts w:cs="Calibri"/>
          <w:sz w:val="24"/>
          <w:szCs w:val="24"/>
        </w:rPr>
        <w:t>S</w:t>
      </w:r>
      <w:r w:rsidRPr="00C91E6E">
        <w:rPr>
          <w:rFonts w:cs="Calibri"/>
          <w:sz w:val="24"/>
          <w:szCs w:val="24"/>
        </w:rPr>
        <w:t>outhern Maryland</w:t>
      </w:r>
      <w:r w:rsidR="00577008" w:rsidRPr="00C91E6E">
        <w:rPr>
          <w:rFonts w:cs="Calibri"/>
          <w:sz w:val="24"/>
          <w:szCs w:val="24"/>
        </w:rPr>
        <w:t xml:space="preserve">. The </w:t>
      </w:r>
      <w:r w:rsidR="00DD2291" w:rsidRPr="00C91E6E">
        <w:rPr>
          <w:rFonts w:cs="Calibri"/>
          <w:sz w:val="24"/>
          <w:szCs w:val="24"/>
        </w:rPr>
        <w:t>chapter</w:t>
      </w:r>
      <w:r w:rsidRPr="00C91E6E">
        <w:rPr>
          <w:rFonts w:cs="Calibri"/>
          <w:sz w:val="24"/>
          <w:szCs w:val="24"/>
        </w:rPr>
        <w:t xml:space="preserve"> </w:t>
      </w:r>
      <w:r w:rsidR="00DD2291" w:rsidRPr="00C91E6E">
        <w:rPr>
          <w:rFonts w:cs="Calibri"/>
          <w:sz w:val="24"/>
          <w:szCs w:val="24"/>
        </w:rPr>
        <w:t xml:space="preserve">is part of a vibrant community of 15,000 middle market corporate growth professionals, working and thriving in a variety of roles, </w:t>
      </w:r>
      <w:proofErr w:type="gramStart"/>
      <w:r w:rsidR="00DD2291" w:rsidRPr="00C91E6E">
        <w:rPr>
          <w:rFonts w:cs="Calibri"/>
          <w:sz w:val="24"/>
          <w:szCs w:val="24"/>
        </w:rPr>
        <w:t>markets</w:t>
      </w:r>
      <w:proofErr w:type="gramEnd"/>
      <w:r w:rsidR="00DD2291" w:rsidRPr="00C91E6E">
        <w:rPr>
          <w:rFonts w:cs="Calibri"/>
          <w:sz w:val="24"/>
          <w:szCs w:val="24"/>
        </w:rPr>
        <w:t xml:space="preserve"> and industries with a focus on M&amp;A within the middle market.</w:t>
      </w:r>
    </w:p>
    <w:p w14:paraId="75B8F3FB" w14:textId="77777777" w:rsidR="008B7192" w:rsidRPr="00C91E6E" w:rsidRDefault="008B7192" w:rsidP="00AC20A1">
      <w:pPr>
        <w:spacing w:after="0" w:line="240" w:lineRule="auto"/>
        <w:rPr>
          <w:rFonts w:cs="Calibri"/>
          <w:sz w:val="24"/>
          <w:szCs w:val="24"/>
        </w:rPr>
      </w:pPr>
    </w:p>
    <w:p w14:paraId="5374E4D6" w14:textId="77777777" w:rsidR="008B7192" w:rsidRPr="00C91E6E" w:rsidRDefault="008B7192" w:rsidP="00AC20A1">
      <w:pPr>
        <w:spacing w:after="0" w:line="240" w:lineRule="auto"/>
        <w:rPr>
          <w:rFonts w:cs="Calibri"/>
          <w:sz w:val="24"/>
          <w:szCs w:val="24"/>
        </w:rPr>
      </w:pPr>
      <w:r w:rsidRPr="00C91E6E">
        <w:rPr>
          <w:rFonts w:cs="Calibri"/>
          <w:sz w:val="24"/>
          <w:szCs w:val="24"/>
        </w:rPr>
        <w:t xml:space="preserve">ACG National Capital's veteran leadership and its membership </w:t>
      </w:r>
      <w:r w:rsidR="00352441" w:rsidRPr="00C91E6E">
        <w:rPr>
          <w:rFonts w:cs="Calibri"/>
          <w:sz w:val="24"/>
          <w:szCs w:val="24"/>
        </w:rPr>
        <w:t xml:space="preserve">of more than 400 executives and business leaders </w:t>
      </w:r>
      <w:r w:rsidRPr="00C91E6E">
        <w:rPr>
          <w:rFonts w:cs="Calibri"/>
          <w:sz w:val="24"/>
          <w:szCs w:val="24"/>
        </w:rPr>
        <w:t xml:space="preserve">have participated in nearly every </w:t>
      </w:r>
      <w:r w:rsidR="00577008" w:rsidRPr="00C91E6E">
        <w:rPr>
          <w:rFonts w:cs="Calibri"/>
          <w:sz w:val="24"/>
          <w:szCs w:val="24"/>
        </w:rPr>
        <w:t xml:space="preserve">recent </w:t>
      </w:r>
      <w:r w:rsidRPr="00C91E6E">
        <w:rPr>
          <w:rFonts w:cs="Calibri"/>
          <w:sz w:val="24"/>
          <w:szCs w:val="24"/>
        </w:rPr>
        <w:t xml:space="preserve">M&amp;A transaction completed in the D.C. metro region. For more information, visit </w:t>
      </w:r>
      <w:hyperlink r:id="rId9" w:history="1">
        <w:r w:rsidRPr="00C91E6E">
          <w:rPr>
            <w:rStyle w:val="Hyperlink"/>
            <w:rFonts w:cs="Calibri"/>
            <w:sz w:val="24"/>
            <w:szCs w:val="24"/>
          </w:rPr>
          <w:t>www.acgcapital.org</w:t>
        </w:r>
      </w:hyperlink>
      <w:r w:rsidRPr="00C91E6E">
        <w:rPr>
          <w:rFonts w:cs="Calibri"/>
          <w:sz w:val="24"/>
          <w:szCs w:val="24"/>
        </w:rPr>
        <w:t xml:space="preserve"> or the ACG online publication at </w:t>
      </w:r>
      <w:hyperlink r:id="rId10" w:history="1">
        <w:r w:rsidRPr="00C91E6E">
          <w:rPr>
            <w:rStyle w:val="Hyperlink"/>
            <w:rFonts w:cs="Calibri"/>
            <w:sz w:val="24"/>
            <w:szCs w:val="24"/>
          </w:rPr>
          <w:t>www.acgcapitalblog.com</w:t>
        </w:r>
      </w:hyperlink>
      <w:r w:rsidRPr="00C91E6E">
        <w:rPr>
          <w:rFonts w:cs="Calibri"/>
          <w:sz w:val="24"/>
          <w:szCs w:val="24"/>
        </w:rPr>
        <w:t xml:space="preserve">. </w:t>
      </w:r>
    </w:p>
    <w:p w14:paraId="467BBAF0" w14:textId="77777777" w:rsidR="008B7192" w:rsidRPr="00C91E6E" w:rsidRDefault="008B7192" w:rsidP="00AC20A1">
      <w:pPr>
        <w:spacing w:after="0" w:line="240" w:lineRule="auto"/>
        <w:rPr>
          <w:rFonts w:cs="Calibri"/>
          <w:color w:val="000000"/>
          <w:sz w:val="24"/>
          <w:szCs w:val="24"/>
        </w:rPr>
      </w:pPr>
    </w:p>
    <w:p w14:paraId="13BF50D2" w14:textId="77777777" w:rsidR="008B7192" w:rsidRPr="00C91E6E" w:rsidRDefault="008B7192" w:rsidP="00AC20A1">
      <w:pPr>
        <w:spacing w:after="0" w:line="240" w:lineRule="auto"/>
        <w:jc w:val="center"/>
        <w:rPr>
          <w:rFonts w:cs="Calibri"/>
          <w:color w:val="000000"/>
          <w:sz w:val="24"/>
          <w:szCs w:val="24"/>
        </w:rPr>
      </w:pPr>
      <w:r w:rsidRPr="00C91E6E">
        <w:rPr>
          <w:rFonts w:cs="Calibri"/>
          <w:color w:val="000000"/>
          <w:sz w:val="24"/>
          <w:szCs w:val="24"/>
        </w:rPr>
        <w:t>###</w:t>
      </w:r>
    </w:p>
    <w:p w14:paraId="2D8C54A4" w14:textId="77777777" w:rsidR="0054227E" w:rsidRPr="00C91E6E" w:rsidRDefault="0054227E" w:rsidP="00AC20A1">
      <w:pPr>
        <w:spacing w:after="0" w:line="240" w:lineRule="auto"/>
        <w:rPr>
          <w:rFonts w:cs="Calibri"/>
          <w:sz w:val="24"/>
          <w:szCs w:val="24"/>
        </w:rPr>
      </w:pPr>
    </w:p>
    <w:sectPr w:rsidR="0054227E" w:rsidRPr="00C91E6E" w:rsidSect="006A2EFD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E50AE"/>
    <w:multiLevelType w:val="hybridMultilevel"/>
    <w:tmpl w:val="C61A7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79E9"/>
    <w:multiLevelType w:val="hybridMultilevel"/>
    <w:tmpl w:val="584CB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B76EF"/>
    <w:multiLevelType w:val="hybridMultilevel"/>
    <w:tmpl w:val="19682EC8"/>
    <w:lvl w:ilvl="0" w:tplc="A8FE90CC">
      <w:start w:val="518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92788E"/>
    <w:multiLevelType w:val="hybridMultilevel"/>
    <w:tmpl w:val="5936E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14737B"/>
    <w:multiLevelType w:val="hybridMultilevel"/>
    <w:tmpl w:val="2F845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187033"/>
    <w:multiLevelType w:val="hybridMultilevel"/>
    <w:tmpl w:val="22708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014962">
    <w:abstractNumId w:val="2"/>
  </w:num>
  <w:num w:numId="2" w16cid:durableId="667025761">
    <w:abstractNumId w:val="5"/>
  </w:num>
  <w:num w:numId="3" w16cid:durableId="1131165099">
    <w:abstractNumId w:val="4"/>
  </w:num>
  <w:num w:numId="4" w16cid:durableId="1420131233">
    <w:abstractNumId w:val="4"/>
  </w:num>
  <w:num w:numId="5" w16cid:durableId="1342968397">
    <w:abstractNumId w:val="1"/>
  </w:num>
  <w:num w:numId="6" w16cid:durableId="1561090817">
    <w:abstractNumId w:val="0"/>
  </w:num>
  <w:num w:numId="7" w16cid:durableId="12449887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8D3"/>
    <w:rsid w:val="00036EE3"/>
    <w:rsid w:val="000E7A84"/>
    <w:rsid w:val="0013574E"/>
    <w:rsid w:val="00146F0F"/>
    <w:rsid w:val="001771E4"/>
    <w:rsid w:val="001928FA"/>
    <w:rsid w:val="001B4C67"/>
    <w:rsid w:val="001F0C74"/>
    <w:rsid w:val="00225D24"/>
    <w:rsid w:val="00241BBD"/>
    <w:rsid w:val="002473EA"/>
    <w:rsid w:val="002B7495"/>
    <w:rsid w:val="002D56A3"/>
    <w:rsid w:val="002E4403"/>
    <w:rsid w:val="00307111"/>
    <w:rsid w:val="00335D38"/>
    <w:rsid w:val="00352441"/>
    <w:rsid w:val="003E5B19"/>
    <w:rsid w:val="004525D5"/>
    <w:rsid w:val="0045775F"/>
    <w:rsid w:val="004B6AB4"/>
    <w:rsid w:val="004D2B28"/>
    <w:rsid w:val="004F6C8B"/>
    <w:rsid w:val="00502875"/>
    <w:rsid w:val="005034FB"/>
    <w:rsid w:val="00505D3E"/>
    <w:rsid w:val="00514337"/>
    <w:rsid w:val="0054227E"/>
    <w:rsid w:val="00577008"/>
    <w:rsid w:val="005C78D8"/>
    <w:rsid w:val="005D7895"/>
    <w:rsid w:val="005F2A7E"/>
    <w:rsid w:val="00605ABE"/>
    <w:rsid w:val="00622AA0"/>
    <w:rsid w:val="006A2EFD"/>
    <w:rsid w:val="006B334A"/>
    <w:rsid w:val="006B7E73"/>
    <w:rsid w:val="006C357B"/>
    <w:rsid w:val="006C735A"/>
    <w:rsid w:val="006D62CA"/>
    <w:rsid w:val="006F1A72"/>
    <w:rsid w:val="00865CCE"/>
    <w:rsid w:val="00877B0E"/>
    <w:rsid w:val="00886FA6"/>
    <w:rsid w:val="00896C62"/>
    <w:rsid w:val="008B6768"/>
    <w:rsid w:val="008B7192"/>
    <w:rsid w:val="00911C98"/>
    <w:rsid w:val="009209E0"/>
    <w:rsid w:val="00926D1C"/>
    <w:rsid w:val="00935810"/>
    <w:rsid w:val="00956065"/>
    <w:rsid w:val="00985E48"/>
    <w:rsid w:val="00997269"/>
    <w:rsid w:val="009E6846"/>
    <w:rsid w:val="00A27086"/>
    <w:rsid w:val="00A54EC8"/>
    <w:rsid w:val="00A873A9"/>
    <w:rsid w:val="00AB1DE6"/>
    <w:rsid w:val="00AB3C44"/>
    <w:rsid w:val="00AC1F7C"/>
    <w:rsid w:val="00AC20A1"/>
    <w:rsid w:val="00B001B2"/>
    <w:rsid w:val="00B44C6F"/>
    <w:rsid w:val="00B505C9"/>
    <w:rsid w:val="00B83680"/>
    <w:rsid w:val="00BA7D34"/>
    <w:rsid w:val="00BC38D3"/>
    <w:rsid w:val="00C85F6F"/>
    <w:rsid w:val="00C91E6E"/>
    <w:rsid w:val="00CE34DC"/>
    <w:rsid w:val="00D35D7F"/>
    <w:rsid w:val="00DD2291"/>
    <w:rsid w:val="00E17F27"/>
    <w:rsid w:val="00E7259F"/>
    <w:rsid w:val="00EA63E0"/>
    <w:rsid w:val="00EA7011"/>
    <w:rsid w:val="00EC23FD"/>
    <w:rsid w:val="00EC648A"/>
    <w:rsid w:val="00F0101F"/>
    <w:rsid w:val="00F266E4"/>
    <w:rsid w:val="00FA6363"/>
    <w:rsid w:val="00FC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F72418"/>
  <w15:docId w15:val="{BFB8CEDE-7996-4999-8FAB-F958C76C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8D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BC38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C38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C38D3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BC3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C38D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6A2EFD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8368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96C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3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acgcapitalblog.co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acgcapit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BA565A6AF82A40983FF6493B567BDF" ma:contentTypeVersion="16" ma:contentTypeDescription="Create a new document." ma:contentTypeScope="" ma:versionID="ad1a9e32daeaf3fb1647ef70b9f66f0d">
  <xsd:schema xmlns:xsd="http://www.w3.org/2001/XMLSchema" xmlns:xs="http://www.w3.org/2001/XMLSchema" xmlns:p="http://schemas.microsoft.com/office/2006/metadata/properties" xmlns:ns2="21c93e56-bc66-4e11-8ab6-f6766ca2c73a" xmlns:ns3="b3acab3d-2f93-44c9-8a8a-28cec69bac6b" targetNamespace="http://schemas.microsoft.com/office/2006/metadata/properties" ma:root="true" ma:fieldsID="69436f0c66a00aa46596913d8a879e4d" ns2:_="" ns3:_="">
    <xsd:import namespace="21c93e56-bc66-4e11-8ab6-f6766ca2c73a"/>
    <xsd:import namespace="b3acab3d-2f93-44c9-8a8a-28cec69ba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93e56-bc66-4e11-8ab6-f6766ca2c7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ccd8178-de94-4dad-885f-93531a0380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cab3d-2f93-44c9-8a8a-28cec69ba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5f2d72-e874-4c4b-b569-8299376fcb9c}" ma:internalName="TaxCatchAll" ma:showField="CatchAllData" ma:web="b3acab3d-2f93-44c9-8a8a-28cec69ba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c93e56-bc66-4e11-8ab6-f6766ca2c73a">
      <Terms xmlns="http://schemas.microsoft.com/office/infopath/2007/PartnerControls"/>
    </lcf76f155ced4ddcb4097134ff3c332f>
    <TaxCatchAll xmlns="b3acab3d-2f93-44c9-8a8a-28cec69bac6b" xsi:nil="true"/>
  </documentManagement>
</p:properties>
</file>

<file path=customXml/itemProps1.xml><?xml version="1.0" encoding="utf-8"?>
<ds:datastoreItem xmlns:ds="http://schemas.openxmlformats.org/officeDocument/2006/customXml" ds:itemID="{E617C91C-04BC-48D4-A1F6-B5D82E1592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7CBC3B-B350-4AEA-90E3-32879E44B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93e56-bc66-4e11-8ab6-f6766ca2c73a"/>
    <ds:schemaRef ds:uri="b3acab3d-2f93-44c9-8a8a-28cec69ba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79DDFD-F94E-4EF5-BDEE-4A8F4416035F}">
  <ds:schemaRefs>
    <ds:schemaRef ds:uri="http://schemas.microsoft.com/office/2006/metadata/properties"/>
    <ds:schemaRef ds:uri="http://schemas.microsoft.com/office/infopath/2007/PartnerControls"/>
    <ds:schemaRef ds:uri="21c93e56-bc66-4e11-8ab6-f6766ca2c73a"/>
    <ds:schemaRef ds:uri="b3acab3d-2f93-44c9-8a8a-28cec69bac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Contact:</vt:lpstr>
    </vt:vector>
  </TitlesOfParts>
  <Company>Cherry Bekaert &amp; Holland</Company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Contact:</dc:title>
  <dc:creator>Annabel Bendz</dc:creator>
  <cp:lastModifiedBy>Nicole Brophy</cp:lastModifiedBy>
  <cp:revision>2</cp:revision>
  <cp:lastPrinted>2012-02-20T16:39:00Z</cp:lastPrinted>
  <dcterms:created xsi:type="dcterms:W3CDTF">2022-12-07T16:06:00Z</dcterms:created>
  <dcterms:modified xsi:type="dcterms:W3CDTF">2022-12-07T16:06:00Z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0x0101005EBA565A6AF82A40983FF6493B567BDF</vt:lpwstr>
  </property>
</Properties>
</file>