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B789" w14:textId="77777777" w:rsidR="00535723" w:rsidRPr="0027705A" w:rsidRDefault="00D5497E" w:rsidP="0027705A">
      <w:pPr>
        <w:jc w:val="center"/>
        <w:rPr>
          <w:b/>
          <w:bCs/>
          <w:sz w:val="24"/>
          <w:szCs w:val="24"/>
        </w:rPr>
      </w:pPr>
      <w:r w:rsidRPr="0027705A">
        <w:rPr>
          <w:b/>
          <w:bCs/>
          <w:sz w:val="24"/>
          <w:szCs w:val="24"/>
        </w:rPr>
        <w:t>ACG National Capital Chapter</w:t>
      </w:r>
    </w:p>
    <w:p w14:paraId="7E7E4E4E" w14:textId="435A3360" w:rsidR="00F44CFD" w:rsidRDefault="00D5497E" w:rsidP="001F562F">
      <w:pPr>
        <w:jc w:val="center"/>
        <w:rPr>
          <w:color w:val="808080"/>
        </w:rPr>
      </w:pPr>
      <w:r w:rsidRPr="0027705A">
        <w:rPr>
          <w:b/>
          <w:bCs/>
          <w:sz w:val="24"/>
          <w:szCs w:val="24"/>
          <w:u w:val="single"/>
        </w:rPr>
        <w:t>22nd Corporate Growth Awards Program</w:t>
      </w:r>
      <w:r w:rsidR="00F44CFD" w:rsidRPr="0027705A">
        <w:rPr>
          <w:b/>
          <w:bCs/>
          <w:sz w:val="24"/>
          <w:szCs w:val="24"/>
          <w:u w:val="single"/>
        </w:rPr>
        <w:br/>
      </w:r>
      <w:r w:rsidR="00F44CFD" w:rsidRPr="00F44CFD">
        <w:rPr>
          <w:color w:val="808080"/>
        </w:rPr>
        <w:t>2024</w:t>
      </w:r>
      <w:r w:rsidR="001F562F">
        <w:rPr>
          <w:color w:val="808080"/>
        </w:rPr>
        <w:t>:</w:t>
      </w:r>
      <w:r w:rsidR="00F44CFD" w:rsidRPr="00F44CFD">
        <w:rPr>
          <w:color w:val="808080"/>
        </w:rPr>
        <w:t xml:space="preserve"> 14 Categories</w:t>
      </w:r>
      <w:r w:rsidR="0027705A">
        <w:rPr>
          <w:color w:val="808080"/>
        </w:rPr>
        <w:t xml:space="preserve"> Descriptions</w:t>
      </w:r>
      <w:r w:rsidR="001F562F">
        <w:rPr>
          <w:color w:val="808080"/>
        </w:rPr>
        <w:br/>
      </w:r>
      <w:r w:rsidR="00594198" w:rsidRPr="00594198">
        <w:rPr>
          <w:color w:val="7F7F7F" w:themeColor="text1" w:themeTint="80"/>
        </w:rPr>
        <w:t>capitalawards@acg.org</w:t>
      </w:r>
    </w:p>
    <w:p w14:paraId="2EFBE6C5" w14:textId="77777777" w:rsidR="0027705A" w:rsidRDefault="0027705A" w:rsidP="0027705A">
      <w:pPr>
        <w:rPr>
          <w:color w:val="808080"/>
        </w:rPr>
      </w:pPr>
    </w:p>
    <w:p w14:paraId="5EACCAFD" w14:textId="77777777" w:rsidR="001F562F" w:rsidRPr="00F44CFD" w:rsidRDefault="001F562F" w:rsidP="0027705A">
      <w:pPr>
        <w:rPr>
          <w:color w:val="808080"/>
        </w:rPr>
      </w:pPr>
    </w:p>
    <w:p w14:paraId="2ACB3E60" w14:textId="1A574286" w:rsidR="0027705A" w:rsidRPr="0027705A" w:rsidRDefault="0027705A" w:rsidP="0027705A">
      <w:r w:rsidRPr="0027705A">
        <w:t>ACG National Capital, the region's preeminent association for middle-market businesses leaders and dealmakers</w:t>
      </w:r>
      <w:r>
        <w:t>,</w:t>
      </w:r>
      <w:r w:rsidRPr="0027705A">
        <w:t xml:space="preserve"> focused on driving growth, present</w:t>
      </w:r>
      <w:r>
        <w:t>s</w:t>
      </w:r>
      <w:r w:rsidRPr="0027705A">
        <w:t xml:space="preserve"> Corporate Growth Awards to the region's leading executives and business</w:t>
      </w:r>
      <w:r>
        <w:t>es.</w:t>
      </w:r>
    </w:p>
    <w:p w14:paraId="2B4CD869" w14:textId="77777777" w:rsidR="0027705A" w:rsidRDefault="0027705A" w:rsidP="0027705A"/>
    <w:p w14:paraId="5DFA616C" w14:textId="7217E91F" w:rsidR="00F44CFD" w:rsidRDefault="0027705A" w:rsidP="0027705A">
      <w:r w:rsidRPr="0027705A">
        <w:t>These prestigious awards recognize the most transformational deals, top executives, and fastest growing companies in what is one of the country's largest economies, and most active deal communities.</w:t>
      </w:r>
      <w:r>
        <w:t xml:space="preserve"> </w:t>
      </w:r>
      <w:r w:rsidRPr="0027705A">
        <w:t>Whether leveraging M&amp;A transactions, or a strong commitment to organic growth, the companies and executives honored with Corporate Growth Awards represent the most successful in the National Capital Region's incredibly crowded and competitive business community.</w:t>
      </w:r>
    </w:p>
    <w:p w14:paraId="3E6FADE1" w14:textId="77777777" w:rsidR="0027705A" w:rsidRPr="0027705A" w:rsidRDefault="0027705A" w:rsidP="0027705A"/>
    <w:p w14:paraId="54683B04" w14:textId="242B287A" w:rsidR="00F44CFD" w:rsidRPr="00F44CFD" w:rsidRDefault="00F44CFD" w:rsidP="0027705A">
      <w:r w:rsidRPr="0027705A">
        <w:rPr>
          <w:b/>
          <w:bCs/>
          <w:u w:val="single"/>
        </w:rPr>
        <w:t>Awards</w:t>
      </w:r>
      <w:r w:rsidRPr="0027705A">
        <w:rPr>
          <w:b/>
          <w:bCs/>
          <w:spacing w:val="-2"/>
          <w:u w:val="single"/>
        </w:rPr>
        <w:t xml:space="preserve"> </w:t>
      </w:r>
      <w:r w:rsidRPr="0027705A">
        <w:rPr>
          <w:b/>
          <w:bCs/>
          <w:u w:val="single"/>
        </w:rPr>
        <w:t>Goal</w:t>
      </w:r>
      <w:r w:rsidRPr="00F44CFD">
        <w:t>:</w:t>
      </w:r>
      <w:r w:rsidRPr="00F44CFD">
        <w:rPr>
          <w:spacing w:val="40"/>
        </w:rPr>
        <w:t xml:space="preserve"> </w:t>
      </w:r>
      <w:r w:rsidR="0027705A">
        <w:t>R</w:t>
      </w:r>
      <w:r w:rsidRPr="00F44CFD">
        <w:t>ecognize</w:t>
      </w:r>
      <w:r w:rsidRPr="00F44CFD">
        <w:rPr>
          <w:spacing w:val="-2"/>
        </w:rPr>
        <w:t xml:space="preserve"> </w:t>
      </w:r>
      <w:r w:rsidRPr="00F44CFD">
        <w:t>excellence</w:t>
      </w:r>
      <w:r w:rsidRPr="00F44CFD">
        <w:rPr>
          <w:spacing w:val="-2"/>
        </w:rPr>
        <w:t xml:space="preserve"> </w:t>
      </w:r>
      <w:r w:rsidRPr="00F44CFD">
        <w:t>and</w:t>
      </w:r>
      <w:r w:rsidRPr="00F44CFD">
        <w:rPr>
          <w:spacing w:val="-5"/>
        </w:rPr>
        <w:t xml:space="preserve"> </w:t>
      </w:r>
      <w:r w:rsidRPr="00F44CFD">
        <w:t>outstanding</w:t>
      </w:r>
      <w:r w:rsidRPr="00F44CFD">
        <w:rPr>
          <w:spacing w:val="-2"/>
        </w:rPr>
        <w:t xml:space="preserve"> </w:t>
      </w:r>
      <w:r w:rsidRPr="00F44CFD">
        <w:t>achievements</w:t>
      </w:r>
      <w:r w:rsidRPr="00F44CFD">
        <w:rPr>
          <w:spacing w:val="-4"/>
        </w:rPr>
        <w:t xml:space="preserve"> </w:t>
      </w:r>
      <w:r w:rsidRPr="00F44CFD">
        <w:t>in</w:t>
      </w:r>
      <w:r w:rsidRPr="00F44CFD">
        <w:rPr>
          <w:spacing w:val="-2"/>
        </w:rPr>
        <w:t xml:space="preserve"> </w:t>
      </w:r>
      <w:r w:rsidRPr="00F44CFD">
        <w:t>2023</w:t>
      </w:r>
      <w:r w:rsidRPr="00F44CFD">
        <w:rPr>
          <w:spacing w:val="-2"/>
        </w:rPr>
        <w:t xml:space="preserve"> </w:t>
      </w:r>
      <w:r w:rsidRPr="00F44CFD">
        <w:t>corporate</w:t>
      </w:r>
      <w:r w:rsidRPr="00F44CFD">
        <w:rPr>
          <w:spacing w:val="-2"/>
        </w:rPr>
        <w:t xml:space="preserve"> </w:t>
      </w:r>
      <w:r w:rsidRPr="00F44CFD">
        <w:t>growth</w:t>
      </w:r>
      <w:r w:rsidRPr="00F44CFD">
        <w:rPr>
          <w:spacing w:val="-2"/>
        </w:rPr>
        <w:t xml:space="preserve"> </w:t>
      </w:r>
      <w:r w:rsidRPr="00F44CFD">
        <w:t>with</w:t>
      </w:r>
      <w:r w:rsidRPr="00F44CFD">
        <w:rPr>
          <w:spacing w:val="-5"/>
        </w:rPr>
        <w:t xml:space="preserve"> </w:t>
      </w:r>
      <w:r w:rsidRPr="00F44CFD">
        <w:t>companies</w:t>
      </w:r>
      <w:r w:rsidRPr="00F44CFD">
        <w:rPr>
          <w:spacing w:val="-4"/>
        </w:rPr>
        <w:t xml:space="preserve"> </w:t>
      </w:r>
      <w:r w:rsidRPr="00F44CFD">
        <w:t>and</w:t>
      </w:r>
      <w:r w:rsidRPr="00F44CFD">
        <w:rPr>
          <w:spacing w:val="-2"/>
        </w:rPr>
        <w:t xml:space="preserve"> </w:t>
      </w:r>
      <w:r w:rsidRPr="00F44CFD">
        <w:t>deals which</w:t>
      </w:r>
      <w:r w:rsidRPr="00F44CFD">
        <w:rPr>
          <w:spacing w:val="-7"/>
        </w:rPr>
        <w:t xml:space="preserve"> </w:t>
      </w:r>
      <w:r w:rsidRPr="00F44CFD">
        <w:t>built</w:t>
      </w:r>
      <w:r w:rsidRPr="00F44CFD">
        <w:rPr>
          <w:spacing w:val="-3"/>
        </w:rPr>
        <w:t xml:space="preserve"> </w:t>
      </w:r>
      <w:r w:rsidRPr="00F44CFD">
        <w:t>corporate</w:t>
      </w:r>
      <w:r w:rsidRPr="00F44CFD">
        <w:rPr>
          <w:spacing w:val="-4"/>
        </w:rPr>
        <w:t xml:space="preserve"> </w:t>
      </w:r>
      <w:r w:rsidRPr="00F44CFD">
        <w:t>value</w:t>
      </w:r>
      <w:r w:rsidRPr="00F44CFD">
        <w:rPr>
          <w:spacing w:val="-6"/>
        </w:rPr>
        <w:t xml:space="preserve"> </w:t>
      </w:r>
      <w:r w:rsidRPr="00F44CFD">
        <w:t>through</w:t>
      </w:r>
      <w:r w:rsidRPr="00F44CFD">
        <w:rPr>
          <w:spacing w:val="-6"/>
        </w:rPr>
        <w:t xml:space="preserve"> </w:t>
      </w:r>
      <w:r w:rsidRPr="00F44CFD">
        <w:t>mergers</w:t>
      </w:r>
      <w:r w:rsidRPr="00F44CFD">
        <w:rPr>
          <w:spacing w:val="-4"/>
        </w:rPr>
        <w:t xml:space="preserve"> </w:t>
      </w:r>
      <w:r w:rsidRPr="00F44CFD">
        <w:t>and</w:t>
      </w:r>
      <w:r w:rsidRPr="00F44CFD">
        <w:rPr>
          <w:spacing w:val="-7"/>
        </w:rPr>
        <w:t xml:space="preserve"> </w:t>
      </w:r>
      <w:r w:rsidRPr="00F44CFD">
        <w:t>acquisitions,</w:t>
      </w:r>
      <w:r w:rsidRPr="00F44CFD">
        <w:rPr>
          <w:spacing w:val="-4"/>
        </w:rPr>
        <w:t xml:space="preserve"> </w:t>
      </w:r>
      <w:r w:rsidRPr="00F44CFD">
        <w:t>strategic</w:t>
      </w:r>
      <w:r w:rsidRPr="00F44CFD">
        <w:rPr>
          <w:spacing w:val="-4"/>
        </w:rPr>
        <w:t xml:space="preserve"> </w:t>
      </w:r>
      <w:r w:rsidRPr="00F44CFD">
        <w:t>partnerships,</w:t>
      </w:r>
      <w:r w:rsidRPr="00F44CFD">
        <w:rPr>
          <w:spacing w:val="-4"/>
        </w:rPr>
        <w:t xml:space="preserve"> </w:t>
      </w:r>
      <w:r w:rsidRPr="00F44CFD">
        <w:t>organic</w:t>
      </w:r>
      <w:r w:rsidRPr="00F44CFD">
        <w:rPr>
          <w:spacing w:val="-4"/>
        </w:rPr>
        <w:t xml:space="preserve"> </w:t>
      </w:r>
      <w:r w:rsidRPr="00F44CFD">
        <w:t>growth,</w:t>
      </w:r>
      <w:r w:rsidRPr="00F44CFD">
        <w:rPr>
          <w:spacing w:val="-7"/>
        </w:rPr>
        <w:t xml:space="preserve"> </w:t>
      </w:r>
      <w:r w:rsidRPr="00F44CFD">
        <w:t>and</w:t>
      </w:r>
      <w:r w:rsidRPr="00F44CFD">
        <w:rPr>
          <w:spacing w:val="-4"/>
        </w:rPr>
        <w:t xml:space="preserve"> </w:t>
      </w:r>
      <w:r w:rsidRPr="00F44CFD">
        <w:t>capital</w:t>
      </w:r>
      <w:r w:rsidRPr="00F44CFD">
        <w:rPr>
          <w:spacing w:val="-3"/>
        </w:rPr>
        <w:t xml:space="preserve"> </w:t>
      </w:r>
      <w:r w:rsidRPr="00F44CFD">
        <w:rPr>
          <w:spacing w:val="-2"/>
        </w:rPr>
        <w:t>financing.</w:t>
      </w:r>
    </w:p>
    <w:p w14:paraId="6711D8DA" w14:textId="77777777" w:rsidR="00535723" w:rsidRPr="00F44CFD" w:rsidRDefault="00535723" w:rsidP="0027705A">
      <w:pPr>
        <w:rPr>
          <w:bCs/>
          <w:color w:val="000000"/>
        </w:rPr>
      </w:pPr>
    </w:p>
    <w:p w14:paraId="7D022D9A" w14:textId="77777777" w:rsidR="00535723" w:rsidRPr="00F44CFD" w:rsidRDefault="00535723" w:rsidP="0027705A">
      <w:pPr>
        <w:rPr>
          <w:bCs/>
        </w:rPr>
      </w:pPr>
    </w:p>
    <w:p w14:paraId="579C73D1" w14:textId="77777777" w:rsidR="00535723" w:rsidRPr="0027705A" w:rsidRDefault="00D5497E" w:rsidP="0027705A">
      <w:pPr>
        <w:rPr>
          <w:b/>
          <w:bCs/>
        </w:rPr>
      </w:pPr>
      <w:r w:rsidRPr="0027705A">
        <w:rPr>
          <w:b/>
          <w:bCs/>
          <w:u w:val="single"/>
        </w:rPr>
        <w:t>CORPORATE GROWTH COMPANY (4)</w:t>
      </w:r>
    </w:p>
    <w:p w14:paraId="2813F0F8" w14:textId="77777777" w:rsidR="00535723" w:rsidRPr="00F44CFD" w:rsidRDefault="00535723" w:rsidP="0027705A">
      <w:pPr>
        <w:rPr>
          <w:color w:val="000000"/>
        </w:rPr>
      </w:pPr>
    </w:p>
    <w:p w14:paraId="20101DFB" w14:textId="77777777" w:rsidR="00535723" w:rsidRPr="0027705A" w:rsidRDefault="00D5497E" w:rsidP="0027705A">
      <w:pPr>
        <w:rPr>
          <w:b/>
          <w:bCs/>
        </w:rPr>
      </w:pPr>
      <w:r w:rsidRPr="0027705A">
        <w:rPr>
          <w:b/>
          <w:bCs/>
        </w:rPr>
        <w:t>Emerging Growth Company Award Under $25M</w:t>
      </w:r>
    </w:p>
    <w:p w14:paraId="255AEF64"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less than $25M in revenue for 2023.</w:t>
      </w:r>
    </w:p>
    <w:p w14:paraId="2C9E9490" w14:textId="77777777" w:rsidR="00535723" w:rsidRPr="00F44CFD" w:rsidRDefault="00535723" w:rsidP="0027705A">
      <w:pPr>
        <w:rPr>
          <w:color w:val="000000"/>
        </w:rPr>
      </w:pPr>
    </w:p>
    <w:p w14:paraId="5AB62BDB" w14:textId="77777777" w:rsidR="00535723" w:rsidRPr="0027705A" w:rsidRDefault="00D5497E" w:rsidP="0027705A">
      <w:pPr>
        <w:rPr>
          <w:b/>
          <w:bCs/>
        </w:rPr>
      </w:pPr>
      <w:r w:rsidRPr="0027705A">
        <w:rPr>
          <w:b/>
          <w:bCs/>
        </w:rPr>
        <w:t>Corporate Growth Company Award $25M-$75M</w:t>
      </w:r>
    </w:p>
    <w:p w14:paraId="19BD5EB5"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$25M and less than $75M in revenue for 2023.</w:t>
      </w:r>
    </w:p>
    <w:p w14:paraId="10E6F9AF" w14:textId="77777777" w:rsidR="00535723" w:rsidRPr="00F44CFD" w:rsidRDefault="00535723" w:rsidP="0027705A">
      <w:pPr>
        <w:rPr>
          <w:color w:val="000000"/>
        </w:rPr>
      </w:pPr>
    </w:p>
    <w:p w14:paraId="08055D55" w14:textId="77777777" w:rsidR="00535723" w:rsidRPr="0027705A" w:rsidRDefault="00D5497E" w:rsidP="0027705A">
      <w:pPr>
        <w:rPr>
          <w:b/>
          <w:bCs/>
        </w:rPr>
      </w:pPr>
      <w:r w:rsidRPr="0027705A">
        <w:rPr>
          <w:b/>
          <w:bCs/>
        </w:rPr>
        <w:t>Corporate Growth Company Award $75M-$250M</w:t>
      </w:r>
    </w:p>
    <w:p w14:paraId="50DA468B"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$75M and less than $250M in revenue for 2023.</w:t>
      </w:r>
    </w:p>
    <w:p w14:paraId="60D112F8" w14:textId="77777777" w:rsidR="00535723" w:rsidRPr="00F44CFD" w:rsidRDefault="00535723" w:rsidP="0027705A">
      <w:pPr>
        <w:rPr>
          <w:color w:val="000000"/>
        </w:rPr>
      </w:pPr>
    </w:p>
    <w:p w14:paraId="4FD19114" w14:textId="77777777" w:rsidR="00535723" w:rsidRPr="0027705A" w:rsidRDefault="00D5497E" w:rsidP="0027705A">
      <w:pPr>
        <w:rPr>
          <w:b/>
          <w:bCs/>
        </w:rPr>
      </w:pPr>
      <w:r w:rsidRPr="0027705A">
        <w:rPr>
          <w:b/>
          <w:bCs/>
        </w:rPr>
        <w:t>Corporate Growth Company Award Over $250M</w:t>
      </w:r>
    </w:p>
    <w:p w14:paraId="35B79611"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$250M in revenue for 2023.</w:t>
      </w:r>
    </w:p>
    <w:p w14:paraId="5F04CFEF" w14:textId="77777777" w:rsidR="00535723" w:rsidRPr="00F44CFD" w:rsidRDefault="00535723" w:rsidP="0027705A">
      <w:pPr>
        <w:rPr>
          <w:color w:val="000000"/>
        </w:rPr>
      </w:pPr>
    </w:p>
    <w:p w14:paraId="56A9E1C9" w14:textId="77777777" w:rsidR="00535723" w:rsidRPr="00F44CFD" w:rsidRDefault="00D5497E" w:rsidP="0027705A">
      <w:pPr>
        <w:rPr>
          <w:i/>
        </w:rPr>
      </w:pPr>
      <w:r w:rsidRPr="00F44CFD">
        <w:rPr>
          <w:i/>
        </w:rPr>
        <w:t>Definitional Clarification: “a Greater Washington-based company” entails a firm who has a significant operating presence in the national capital region. This will include, but it is not limited to, being headquartered, having a regional headquarters, or a sizable number of employees operating in the area.</w:t>
      </w:r>
    </w:p>
    <w:p w14:paraId="4E47AD51" w14:textId="77777777" w:rsidR="00535723" w:rsidRPr="00F44CFD" w:rsidRDefault="00535723" w:rsidP="0027705A">
      <w:pPr>
        <w:rPr>
          <w:iCs/>
          <w:color w:val="000000"/>
        </w:rPr>
      </w:pPr>
    </w:p>
    <w:p w14:paraId="2ED0D957" w14:textId="77777777" w:rsidR="00535723" w:rsidRPr="00F44CFD" w:rsidRDefault="00535723" w:rsidP="0027705A">
      <w:pPr>
        <w:rPr>
          <w:iCs/>
          <w:color w:val="000000"/>
        </w:rPr>
      </w:pPr>
    </w:p>
    <w:p w14:paraId="1D2E9B13" w14:textId="77777777" w:rsidR="00535723" w:rsidRPr="0027705A" w:rsidRDefault="00D5497E" w:rsidP="0027705A">
      <w:pPr>
        <w:rPr>
          <w:b/>
          <w:bCs/>
        </w:rPr>
      </w:pPr>
      <w:r w:rsidRPr="0027705A">
        <w:rPr>
          <w:b/>
          <w:bCs/>
          <w:u w:val="single"/>
        </w:rPr>
        <w:lastRenderedPageBreak/>
        <w:t>DEAL OF THE YEAR (3)</w:t>
      </w:r>
    </w:p>
    <w:p w14:paraId="1FFFF1C9" w14:textId="77777777" w:rsidR="00535723" w:rsidRPr="00F44CFD" w:rsidRDefault="00535723" w:rsidP="0027705A">
      <w:pPr>
        <w:rPr>
          <w:color w:val="000000"/>
        </w:rPr>
      </w:pPr>
    </w:p>
    <w:p w14:paraId="38EB633E" w14:textId="77777777" w:rsidR="00535723" w:rsidRPr="0027705A" w:rsidRDefault="00D5497E" w:rsidP="0027705A">
      <w:pPr>
        <w:rPr>
          <w:b/>
          <w:bCs/>
        </w:rPr>
      </w:pPr>
      <w:r w:rsidRPr="0027705A">
        <w:rPr>
          <w:b/>
          <w:bCs/>
        </w:rPr>
        <w:t>Deal of the Year Under: $50M</w:t>
      </w:r>
    </w:p>
    <w:p w14:paraId="3275A60E" w14:textId="77777777" w:rsidR="00F44CFD" w:rsidRDefault="00D5497E" w:rsidP="0027705A">
      <w:pPr>
        <w:rPr>
          <w:color w:val="000000"/>
        </w:rPr>
      </w:pPr>
      <w:r w:rsidRPr="00F44CFD">
        <w:rPr>
          <w:color w:val="000000"/>
        </w:rPr>
        <w:t>ACG National Capital will recognize a transaction, closed in 2023, in which a publicly-traded or privately-held operating company completed a transaction with a purchase price (enterprise value) less than $50 million, or in which an issuing company engaged in a public offering of equity or debt securities with gross proceeds less than $50 million, and in which the buyer, seller or target (in the case of an M&amp;A transaction) or issuer (in the case of a public offering) is based in the Greater Washington area. Selection criteria will include factors such as transaction accomplishments, and impact on market share, industry, and our region.</w:t>
      </w:r>
    </w:p>
    <w:p w14:paraId="7C12CEC8" w14:textId="77777777" w:rsidR="00F44CFD" w:rsidRDefault="00F44CFD" w:rsidP="0027705A">
      <w:pPr>
        <w:rPr>
          <w:color w:val="000000"/>
        </w:rPr>
      </w:pPr>
    </w:p>
    <w:p w14:paraId="2EB36ED5" w14:textId="77777777" w:rsidR="00535723" w:rsidRPr="0027705A" w:rsidRDefault="00D5497E" w:rsidP="0027705A">
      <w:pPr>
        <w:rPr>
          <w:b/>
          <w:bCs/>
        </w:rPr>
      </w:pPr>
      <w:r w:rsidRPr="0027705A">
        <w:rPr>
          <w:b/>
          <w:bCs/>
        </w:rPr>
        <w:t>Deal of the Year: $50M-$250M</w:t>
      </w:r>
    </w:p>
    <w:p w14:paraId="34AFB2E7" w14:textId="77777777" w:rsidR="00535723" w:rsidRPr="00F44CFD" w:rsidRDefault="00D5497E" w:rsidP="0027705A">
      <w:pPr>
        <w:rPr>
          <w:color w:val="000000"/>
        </w:rPr>
      </w:pPr>
      <w:r w:rsidRPr="00F44CFD">
        <w:rPr>
          <w:color w:val="000000"/>
        </w:rPr>
        <w:t>ACG National Capital will recognize a transaction, closed in 2023, in which a publicly-traded or privately-held operating company completed a transaction with a purchase price (enterprise value) of at least $50 million and less than $250 million, or in which an issuing company engaged in a public offering of equity or debt securities with gross proceeds at least $50 million and less than $250 million, in which the buyer, seller or target (in the case of an M&amp;A transaction) or issuer (in the case of a public offering) is based in the Greater Washington area. Selection criteria will include factors such as transaction accomplishments, and impact on market share, industry, and our region.</w:t>
      </w:r>
    </w:p>
    <w:p w14:paraId="536F135F" w14:textId="77777777" w:rsidR="00535723" w:rsidRPr="00F44CFD" w:rsidRDefault="00535723" w:rsidP="0027705A">
      <w:pPr>
        <w:rPr>
          <w:color w:val="000000"/>
        </w:rPr>
      </w:pPr>
    </w:p>
    <w:p w14:paraId="6746F9FA" w14:textId="77777777" w:rsidR="00535723" w:rsidRPr="0027705A" w:rsidRDefault="00D5497E" w:rsidP="0027705A">
      <w:pPr>
        <w:rPr>
          <w:b/>
          <w:bCs/>
        </w:rPr>
      </w:pPr>
      <w:r w:rsidRPr="0027705A">
        <w:rPr>
          <w:b/>
          <w:bCs/>
        </w:rPr>
        <w:t>Deal of the Year: $250M+</w:t>
      </w:r>
    </w:p>
    <w:p w14:paraId="28F0DD30" w14:textId="77777777" w:rsidR="00535723" w:rsidRPr="00F44CFD" w:rsidRDefault="00D5497E" w:rsidP="0027705A">
      <w:pPr>
        <w:rPr>
          <w:color w:val="000000"/>
        </w:rPr>
      </w:pPr>
      <w:r w:rsidRPr="00F44CFD">
        <w:rPr>
          <w:color w:val="000000"/>
        </w:rPr>
        <w:t>ACG National Capital will recognize a transaction, closed in 2023, in which either a publicly-traded or privately-held operating company completed a transaction with a purchase price (enterprise value) of at least $250 million, or in which an issuing company engaged in a public offering of equity or debt securities with gross proceeds greater than $250 million and less than $1 billion, and in which the buyer, seller or target (in the case of an M&amp;A transaction) or issuer (in the case of a public offering) is based in the Greater Washington area. Selection criteria will include factors such as transaction accomplishments, and impact on market share, industry, and our region.</w:t>
      </w:r>
    </w:p>
    <w:p w14:paraId="3B624D75" w14:textId="77777777" w:rsidR="00535723" w:rsidRPr="00F44CFD" w:rsidRDefault="00535723" w:rsidP="0027705A">
      <w:pPr>
        <w:rPr>
          <w:color w:val="000000"/>
        </w:rPr>
      </w:pPr>
    </w:p>
    <w:p w14:paraId="4542653C" w14:textId="77777777" w:rsidR="00535723" w:rsidRPr="00F44CFD" w:rsidRDefault="00535723" w:rsidP="0027705A">
      <w:pPr>
        <w:rPr>
          <w:color w:val="000000"/>
        </w:rPr>
      </w:pPr>
    </w:p>
    <w:p w14:paraId="1F327F92" w14:textId="77777777" w:rsidR="00535723" w:rsidRPr="0027705A" w:rsidRDefault="00D5497E" w:rsidP="0027705A">
      <w:pPr>
        <w:rPr>
          <w:b/>
          <w:bCs/>
        </w:rPr>
      </w:pPr>
      <w:r w:rsidRPr="0027705A">
        <w:rPr>
          <w:b/>
          <w:bCs/>
          <w:u w:val="single"/>
        </w:rPr>
        <w:t>DEAL TEAMS OF THE YEAR (3)</w:t>
      </w:r>
    </w:p>
    <w:p w14:paraId="6F54D688" w14:textId="77777777" w:rsidR="00535723" w:rsidRPr="00F44CFD" w:rsidRDefault="00535723" w:rsidP="0027705A">
      <w:pPr>
        <w:rPr>
          <w:color w:val="000000"/>
        </w:rPr>
      </w:pPr>
    </w:p>
    <w:p w14:paraId="24B71F16" w14:textId="77777777" w:rsidR="00535723" w:rsidRPr="0027705A" w:rsidRDefault="00D5497E" w:rsidP="0027705A">
      <w:pPr>
        <w:rPr>
          <w:b/>
          <w:bCs/>
        </w:rPr>
      </w:pPr>
      <w:r w:rsidRPr="0027705A">
        <w:rPr>
          <w:b/>
          <w:bCs/>
        </w:rPr>
        <w:t>Deal Team: Public Company of the Year</w:t>
      </w:r>
    </w:p>
    <w:p w14:paraId="20305640" w14:textId="77777777" w:rsidR="00535723" w:rsidRPr="00F44CFD" w:rsidRDefault="00D5497E" w:rsidP="0027705A">
      <w:pPr>
        <w:rPr>
          <w:color w:val="000000"/>
        </w:rPr>
      </w:pPr>
      <w:r w:rsidRPr="00F44CFD">
        <w:rPr>
          <w:color w:val="000000"/>
        </w:rPr>
        <w:t>ACG National Capital will recognize the deal team from a public company that has demonstrated the greatest success in accomplishing growth-oriented transactions that closed (along with all such transactions that signed) in 2023. Such transactions include financings, recapitalizations and mergers and acquisitions. Each nominated deal team should be from the Greater Washington area. Selection criteria will include factors such as number of transactions, transaction size, impact on the nominee’s organization, industry, market share, and our region.</w:t>
      </w:r>
    </w:p>
    <w:p w14:paraId="7969A51F" w14:textId="77777777" w:rsidR="00535723" w:rsidRPr="00F44CFD" w:rsidRDefault="00535723" w:rsidP="0027705A">
      <w:pPr>
        <w:rPr>
          <w:color w:val="000000"/>
        </w:rPr>
      </w:pPr>
    </w:p>
    <w:p w14:paraId="64F0883A" w14:textId="77777777" w:rsidR="00535723" w:rsidRPr="0027705A" w:rsidRDefault="00D5497E" w:rsidP="0027705A">
      <w:pPr>
        <w:rPr>
          <w:b/>
          <w:bCs/>
        </w:rPr>
      </w:pPr>
      <w:r w:rsidRPr="0027705A">
        <w:rPr>
          <w:b/>
          <w:bCs/>
        </w:rPr>
        <w:t>Deal Team: Growth Equity or Venture Capital Firm of the Year</w:t>
      </w:r>
    </w:p>
    <w:p w14:paraId="7AA6FD8C" w14:textId="77777777" w:rsidR="00535723" w:rsidRPr="00F44CFD" w:rsidRDefault="00D5497E" w:rsidP="0027705A">
      <w:pPr>
        <w:rPr>
          <w:color w:val="000000"/>
        </w:rPr>
      </w:pPr>
      <w:r w:rsidRPr="00F44CFD">
        <w:rPr>
          <w:color w:val="000000"/>
        </w:rPr>
        <w:t>ACG National Capital will recognize a growth equity or venture capital firm headquartered, operating, and/or investing in the Greater Washington area that has demonstrated success in accomplishing growth- oriented transactions that closed (along with all such transactions that signed) in 2023. Such transactions include non-control investments in a company, in equity or debt form. Selection criteria will include factors such as number of transactions, transaction size and accomplishments, and impact on market share, industry, and our region.</w:t>
      </w:r>
    </w:p>
    <w:p w14:paraId="7359D3F3" w14:textId="77777777" w:rsidR="00535723" w:rsidRPr="00F44CFD" w:rsidRDefault="00535723" w:rsidP="0027705A">
      <w:pPr>
        <w:rPr>
          <w:color w:val="000000"/>
        </w:rPr>
      </w:pPr>
    </w:p>
    <w:p w14:paraId="5825074A" w14:textId="77777777" w:rsidR="00535723" w:rsidRPr="0027705A" w:rsidRDefault="00D5497E" w:rsidP="0027705A">
      <w:pPr>
        <w:rPr>
          <w:b/>
          <w:bCs/>
        </w:rPr>
      </w:pPr>
      <w:r w:rsidRPr="0027705A">
        <w:rPr>
          <w:b/>
          <w:bCs/>
        </w:rPr>
        <w:t>Deal Team: Private Equity Firm of the Year</w:t>
      </w:r>
    </w:p>
    <w:p w14:paraId="604F11B0" w14:textId="77777777" w:rsidR="00F44CFD" w:rsidRDefault="00D5497E" w:rsidP="0027705A">
      <w:pPr>
        <w:rPr>
          <w:color w:val="000000"/>
        </w:rPr>
      </w:pPr>
      <w:r w:rsidRPr="00F44CFD">
        <w:rPr>
          <w:color w:val="000000"/>
        </w:rPr>
        <w:t>ACG National Capital will recognize a private equity firm headquartered, operating, and/or investing in the Greater Washington area that has demonstrated success in accomplishing successful growth oriented and/or buyout transactions that closed (along with all such transactions that signed) in 2023. Such transactions must be either a majority economic stake in a company or a control transaction (inclusive of both equity and debt). Selection criteria will include factors such as number of transactions, transaction size and accomplishments, and impact on market share, industry, and our region.</w:t>
      </w:r>
    </w:p>
    <w:p w14:paraId="7750D429" w14:textId="77777777" w:rsidR="00F44CFD" w:rsidRDefault="00F44CFD" w:rsidP="0027705A">
      <w:pPr>
        <w:rPr>
          <w:color w:val="000000"/>
        </w:rPr>
      </w:pPr>
    </w:p>
    <w:p w14:paraId="3256D2A5" w14:textId="77777777" w:rsidR="00F44CFD" w:rsidRDefault="00F44CFD" w:rsidP="0027705A">
      <w:pPr>
        <w:rPr>
          <w:color w:val="000000"/>
        </w:rPr>
      </w:pPr>
    </w:p>
    <w:p w14:paraId="7359F722" w14:textId="573FE5B1" w:rsidR="00535723" w:rsidRPr="0027705A" w:rsidRDefault="00D5497E" w:rsidP="0027705A">
      <w:pPr>
        <w:rPr>
          <w:b/>
          <w:u w:val="single"/>
        </w:rPr>
      </w:pPr>
      <w:r w:rsidRPr="0027705A">
        <w:rPr>
          <w:b/>
          <w:u w:val="single"/>
        </w:rPr>
        <w:t>SPECIAL RECOGNITON</w:t>
      </w:r>
      <w:r w:rsidR="00F44CFD" w:rsidRPr="0027705A">
        <w:rPr>
          <w:b/>
          <w:u w:val="single"/>
        </w:rPr>
        <w:t xml:space="preserve"> / EXECUITVE OF THE YEAR</w:t>
      </w:r>
      <w:r w:rsidRPr="0027705A">
        <w:rPr>
          <w:b/>
          <w:u w:val="single"/>
        </w:rPr>
        <w:t xml:space="preserve"> (4)</w:t>
      </w:r>
    </w:p>
    <w:p w14:paraId="66A73ED8" w14:textId="77777777" w:rsidR="00F44CFD" w:rsidRPr="00F44CFD" w:rsidRDefault="00F44CFD" w:rsidP="0027705A">
      <w:pPr>
        <w:rPr>
          <w:u w:val="single"/>
        </w:rPr>
      </w:pPr>
    </w:p>
    <w:p w14:paraId="5D6AC3F8" w14:textId="77777777" w:rsidR="00535723" w:rsidRPr="0027705A" w:rsidRDefault="00D5497E" w:rsidP="0027705A">
      <w:pPr>
        <w:rPr>
          <w:b/>
          <w:bCs/>
        </w:rPr>
      </w:pPr>
      <w:r w:rsidRPr="0027705A">
        <w:rPr>
          <w:b/>
          <w:bCs/>
        </w:rPr>
        <w:t>Community Service Project of the Year (Open to all companies and service providers)</w:t>
      </w:r>
    </w:p>
    <w:p w14:paraId="63ECDB3B" w14:textId="77777777" w:rsidR="00535723" w:rsidRPr="00F44CFD" w:rsidRDefault="00D5497E" w:rsidP="0027705A">
      <w:pPr>
        <w:rPr>
          <w:color w:val="000000"/>
        </w:rPr>
      </w:pPr>
      <w:r w:rsidRPr="00F44CFD">
        <w:rPr>
          <w:color w:val="000000"/>
        </w:rPr>
        <w:t>ACG National Capital will recognize a company based in the Greater Washington area that has demonstrated success in supporting a charitable activity of its choosing. All companies, including service providers, are eligible to be nominated. The Service Project of the Year selection criteria will include factors such as impact to the identified charity, impact to the national capital region, employee participation, dollars raised for the charity, and other non-monetary contributions to the identified charity.</w:t>
      </w:r>
    </w:p>
    <w:p w14:paraId="10A353FB" w14:textId="77777777" w:rsidR="00535723" w:rsidRPr="00F44CFD" w:rsidRDefault="00535723" w:rsidP="0027705A">
      <w:pPr>
        <w:rPr>
          <w:color w:val="000000"/>
        </w:rPr>
      </w:pPr>
    </w:p>
    <w:p w14:paraId="64D98D16" w14:textId="77777777" w:rsidR="00535723" w:rsidRPr="0027705A" w:rsidRDefault="00D5497E" w:rsidP="0027705A">
      <w:pPr>
        <w:rPr>
          <w:b/>
          <w:bCs/>
          <w:color w:val="000000"/>
        </w:rPr>
      </w:pPr>
      <w:r w:rsidRPr="0027705A">
        <w:rPr>
          <w:b/>
          <w:bCs/>
          <w:color w:val="000000"/>
        </w:rPr>
        <w:t>NEW -Executive of the Year – Private Company</w:t>
      </w:r>
    </w:p>
    <w:p w14:paraId="09067B15" w14:textId="77777777" w:rsidR="00535723" w:rsidRPr="00F44CFD" w:rsidRDefault="00D5497E" w:rsidP="0027705A">
      <w:pPr>
        <w:rPr>
          <w:color w:val="000000"/>
        </w:rPr>
      </w:pPr>
      <w:r w:rsidRPr="00F44CFD">
        <w:rPr>
          <w:color w:val="000000"/>
        </w:rPr>
        <w:t>The Executive of the Year – Private Company award recognizes an outstanding leader from a privately-held company in the National Capital Region. This category honors executives who have demonstrated exceptional leadership, strategic vision, and impactful decision-making, contributing significantly to the growth and success of their company. Nominees will be assessed based on their achievements, innovative leadership style, and positive influence on the company's financial performance, market position, and overall corporate culture. This award celebrates resilient executives who have navigated challenges and set their company on a sustained growth and prosperity trajectory.</w:t>
      </w:r>
    </w:p>
    <w:p w14:paraId="58AC924B" w14:textId="77777777" w:rsidR="00535723" w:rsidRPr="00F44CFD" w:rsidRDefault="00535723" w:rsidP="0027705A">
      <w:pPr>
        <w:rPr>
          <w:color w:val="000000"/>
        </w:rPr>
      </w:pPr>
    </w:p>
    <w:p w14:paraId="6F7533E4" w14:textId="77777777" w:rsidR="00535723" w:rsidRPr="0027705A" w:rsidRDefault="00D5497E" w:rsidP="0027705A">
      <w:pPr>
        <w:rPr>
          <w:b/>
          <w:bCs/>
          <w:color w:val="000000"/>
        </w:rPr>
      </w:pPr>
      <w:r w:rsidRPr="0027705A">
        <w:rPr>
          <w:b/>
          <w:bCs/>
          <w:color w:val="000000"/>
        </w:rPr>
        <w:t>NEW - Executive of the Year – Private Equity</w:t>
      </w:r>
    </w:p>
    <w:p w14:paraId="7E549A33" w14:textId="77777777" w:rsidR="00535723" w:rsidRPr="00F44CFD" w:rsidRDefault="00D5497E" w:rsidP="0027705A">
      <w:pPr>
        <w:rPr>
          <w:color w:val="000000"/>
        </w:rPr>
      </w:pPr>
      <w:r w:rsidRPr="00F44CFD">
        <w:rPr>
          <w:color w:val="000000"/>
        </w:rPr>
        <w:t>The Executive of the Year – Private Equity Award acknowledges a top executive in the National Capital Region who has showcased exemplary leadership within the private equity sector. This category honors individuals who drive successful investments, management, and overall growth within their private equity firm. Nominees will be evaluated based on their strategic insight, deal-making prowess, and positive impact on the funds and success of the companies within their portfolio. This award recognizes executives who have demonstrated a perceptive understanding of market dynamics and have contributed significantly to the success of their private equity organization.</w:t>
      </w:r>
    </w:p>
    <w:p w14:paraId="0EAC97C8" w14:textId="77777777" w:rsidR="00535723" w:rsidRPr="00F44CFD" w:rsidRDefault="00535723" w:rsidP="0027705A">
      <w:pPr>
        <w:rPr>
          <w:color w:val="000000"/>
        </w:rPr>
      </w:pPr>
    </w:p>
    <w:p w14:paraId="0E4793E0" w14:textId="77777777" w:rsidR="00535723" w:rsidRPr="0027705A" w:rsidRDefault="00D5497E" w:rsidP="0027705A">
      <w:pPr>
        <w:rPr>
          <w:b/>
          <w:bCs/>
          <w:color w:val="000000"/>
        </w:rPr>
      </w:pPr>
      <w:r w:rsidRPr="0027705A">
        <w:rPr>
          <w:b/>
          <w:bCs/>
          <w:color w:val="000000"/>
        </w:rPr>
        <w:t>NEW - Executive of the Year – Public Company</w:t>
      </w:r>
    </w:p>
    <w:p w14:paraId="6B009F09" w14:textId="77777777" w:rsidR="00535723" w:rsidRPr="00F44CFD" w:rsidRDefault="00D5497E" w:rsidP="0027705A">
      <w:pPr>
        <w:rPr>
          <w:color w:val="000000"/>
        </w:rPr>
      </w:pPr>
      <w:r w:rsidRPr="00F44CFD">
        <w:rPr>
          <w:color w:val="000000"/>
        </w:rPr>
        <w:t>The Executive of the Year – Public Company Award celebrates the achievements of an exceptional leader from a publicly traded company in the Greater Washington area. This category recognizes executives who have exhibited outstanding leadership qualities, guided their company through market challenges, and delivered significant value to shareholders. Nominees will be assessed based on their strategic decision-making, financial stewardship, positive impact on the company's market position, industry influence, and overall corporate success. This award honors executives who have demonstrated resilience, innovation, and a commitment to driving sustained growth in the public domain.</w:t>
      </w:r>
    </w:p>
    <w:p w14:paraId="11E211FC" w14:textId="77777777" w:rsidR="00535723" w:rsidRPr="00F44CFD" w:rsidRDefault="00535723" w:rsidP="0027705A">
      <w:pPr>
        <w:rPr>
          <w:color w:val="000000"/>
        </w:rPr>
      </w:pPr>
    </w:p>
    <w:p w14:paraId="28D8B1D0" w14:textId="77777777" w:rsidR="00535723" w:rsidRPr="00F44CFD" w:rsidRDefault="00D5497E" w:rsidP="0027705A">
      <w:pPr>
        <w:rPr>
          <w:i/>
        </w:rPr>
      </w:pPr>
      <w:r w:rsidRPr="00F44CFD">
        <w:rPr>
          <w:i/>
        </w:rPr>
        <w:t>**2023 Trailblazers award morphed into the three new executive categories.</w:t>
      </w:r>
    </w:p>
    <w:p w14:paraId="1C2A340F" w14:textId="77777777" w:rsidR="00535723" w:rsidRPr="00F44CFD" w:rsidRDefault="00535723" w:rsidP="0027705A">
      <w:pPr>
        <w:rPr>
          <w:color w:val="000000"/>
        </w:rPr>
      </w:pPr>
    </w:p>
    <w:p w14:paraId="1A1BDF78" w14:textId="6177148E" w:rsidR="00535723" w:rsidRDefault="00D5497E" w:rsidP="0027705A">
      <w:r w:rsidRPr="00F44CFD">
        <w:t>Questions:</w:t>
      </w:r>
      <w:r w:rsidR="00594198">
        <w:t xml:space="preserve"> </w:t>
      </w:r>
      <w:r w:rsidR="00594198">
        <w:rPr>
          <w:color w:val="0000FF"/>
          <w:u w:val="single"/>
        </w:rPr>
        <w:t>capitalawards@acg.org</w:t>
      </w:r>
      <w:r w:rsidRPr="00F44CFD">
        <w:rPr>
          <w:color w:val="0000FF"/>
        </w:rPr>
        <w:t xml:space="preserve"> </w:t>
      </w:r>
      <w:r w:rsidRPr="00F44CFD">
        <w:t>| 703.584.0246</w:t>
      </w:r>
    </w:p>
    <w:p w14:paraId="5A4053B6" w14:textId="77777777" w:rsidR="00F44CFD" w:rsidRDefault="00F44CFD" w:rsidP="0027705A"/>
    <w:p w14:paraId="37FE0A72" w14:textId="4FAF8692" w:rsidR="00F44CFD" w:rsidRPr="00F44CFD" w:rsidRDefault="00594198" w:rsidP="0027705A">
      <w:pPr>
        <w:rPr>
          <w:sz w:val="36"/>
          <w:szCs w:val="36"/>
        </w:rPr>
      </w:pPr>
      <w:hyperlink r:id="rId10" w:history="1">
        <w:r w:rsidR="00F44CFD" w:rsidRPr="00F44CFD">
          <w:rPr>
            <w:rStyle w:val="Hyperlink"/>
            <w:b/>
            <w:sz w:val="36"/>
            <w:szCs w:val="36"/>
            <w:highlight w:val="yellow"/>
          </w:rPr>
          <w:t>Nomination forms here.</w:t>
        </w:r>
      </w:hyperlink>
    </w:p>
    <w:sectPr w:rsidR="00F44CFD" w:rsidRPr="00F44CFD" w:rsidSect="00F44CFD">
      <w:footerReference w:type="default" r:id="rId11"/>
      <w:pgSz w:w="12240" w:h="15840"/>
      <w:pgMar w:top="1440" w:right="1080" w:bottom="1440" w:left="1080" w:header="0" w:footer="11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FAC9" w14:textId="77777777" w:rsidR="00D5497E" w:rsidRDefault="00D5497E">
      <w:r>
        <w:separator/>
      </w:r>
    </w:p>
  </w:endnote>
  <w:endnote w:type="continuationSeparator" w:id="0">
    <w:p w14:paraId="28ECCB0A" w14:textId="77777777" w:rsidR="00D5497E" w:rsidRDefault="00D5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DC41" w14:textId="77777777" w:rsidR="00535723" w:rsidRDefault="00D5497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46BD85B0" wp14:editId="6FBE7DF6">
              <wp:simplePos x="0" y="0"/>
              <wp:positionH relativeFrom="column">
                <wp:posOffset>50800</wp:posOffset>
              </wp:positionH>
              <wp:positionV relativeFrom="paragraph">
                <wp:posOffset>9220200</wp:posOffset>
              </wp:positionV>
              <wp:extent cx="6350" cy="12700"/>
              <wp:effectExtent l="0" t="0" r="0" b="0"/>
              <wp:wrapNone/>
              <wp:docPr id="1356161970" name="Freeform: Shape 1356161970"/>
              <wp:cNvGraphicFramePr/>
              <a:graphic xmlns:a="http://schemas.openxmlformats.org/drawingml/2006/main">
                <a:graphicData uri="http://schemas.microsoft.com/office/word/2010/wordprocessingShape">
                  <wps:wsp>
                    <wps:cNvSpPr/>
                    <wps:spPr>
                      <a:xfrm>
                        <a:off x="2355785" y="3776825"/>
                        <a:ext cx="5980430" cy="6350"/>
                      </a:xfrm>
                      <a:custGeom>
                        <a:avLst/>
                        <a:gdLst/>
                        <a:ahLst/>
                        <a:cxnLst/>
                        <a:rect l="l" t="t" r="r" b="b"/>
                        <a:pathLst>
                          <a:path w="5980430" h="6350" extrusionOk="0">
                            <a:moveTo>
                              <a:pt x="5980176" y="0"/>
                            </a:moveTo>
                            <a:lnTo>
                              <a:pt x="0" y="0"/>
                            </a:lnTo>
                            <a:lnTo>
                              <a:pt x="0" y="6108"/>
                            </a:lnTo>
                            <a:lnTo>
                              <a:pt x="5980176" y="6108"/>
                            </a:lnTo>
                            <a:lnTo>
                              <a:pt x="5980176"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0400490E" id="Freeform: Shape 1356161970" o:spid="_x0000_s1026" style="position:absolute;margin-left:4pt;margin-top:726pt;width:.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" path="m5980176,l,,,6108r5980176,l5980176,xe" fillcolor="#d9d9d9" stroked="f">
              <v:path arrowok="t" o:extrusionok="f"/>
            </v:shape>
          </w:pict>
        </mc:Fallback>
      </mc:AlternateContent>
    </w:r>
    <w:r>
      <w:rPr>
        <w:noProof/>
      </w:rPr>
      <mc:AlternateContent>
        <mc:Choice Requires="wps">
          <w:drawing>
            <wp:anchor distT="0" distB="0" distL="0" distR="0" simplePos="0" relativeHeight="251659264" behindDoc="1" locked="0" layoutInCell="1" hidden="0" allowOverlap="1" wp14:anchorId="79F33C14" wp14:editId="0354B2E5">
              <wp:simplePos x="0" y="0"/>
              <wp:positionH relativeFrom="column">
                <wp:posOffset>25400</wp:posOffset>
              </wp:positionH>
              <wp:positionV relativeFrom="paragraph">
                <wp:posOffset>9232900</wp:posOffset>
              </wp:positionV>
              <wp:extent cx="658495" cy="203835"/>
              <wp:effectExtent l="0" t="0" r="0" b="0"/>
              <wp:wrapNone/>
              <wp:docPr id="3" name="Rectangle 3"/>
              <wp:cNvGraphicFramePr/>
              <a:graphic xmlns:a="http://schemas.openxmlformats.org/drawingml/2006/main">
                <a:graphicData uri="http://schemas.microsoft.com/office/word/2010/wordprocessingShape">
                  <wps:wsp>
                    <wps:cNvSpPr/>
                    <wps:spPr>
                      <a:xfrm>
                        <a:off x="5021515" y="3682845"/>
                        <a:ext cx="648970" cy="194310"/>
                      </a:xfrm>
                      <a:prstGeom prst="rect">
                        <a:avLst/>
                      </a:prstGeom>
                      <a:noFill/>
                      <a:ln>
                        <a:noFill/>
                      </a:ln>
                    </wps:spPr>
                    <wps:txbx>
                      <w:txbxContent>
                        <w:p w14:paraId="635FB6C2" w14:textId="77777777" w:rsidR="00535723" w:rsidRDefault="00D5497E">
                          <w:pPr>
                            <w:spacing w:before="10"/>
                            <w:ind w:left="60" w:firstLine="60"/>
                            <w:textDirection w:val="btLr"/>
                          </w:pPr>
                          <w:r>
                            <w:rPr>
                              <w:b/>
                              <w:color w:val="000000"/>
                              <w:sz w:val="24"/>
                            </w:rPr>
                            <w:t xml:space="preserve"> PAGE 1 | </w:t>
                          </w:r>
                          <w:r>
                            <w:rPr>
                              <w:color w:val="7E7E7E"/>
                              <w:sz w:val="24"/>
                            </w:rPr>
                            <w:t>P ag e</w:t>
                          </w:r>
                        </w:p>
                      </w:txbxContent>
                    </wps:txbx>
                    <wps:bodyPr spcFirstLastPara="1" wrap="square" lIns="0" tIns="0" rIns="0" bIns="0" anchor="t" anchorCtr="0">
                      <a:noAutofit/>
                    </wps:bodyPr>
                  </wps:wsp>
                </a:graphicData>
              </a:graphic>
            </wp:anchor>
          </w:drawing>
        </mc:Choice>
        <mc:Fallback>
          <w:pict>
            <v:rect w14:anchorId="79F33C14" id="Rectangle 3" o:spid="_x0000_s1026" style="position:absolute;margin-left:2pt;margin-top:727pt;width:51.85pt;height:16.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" filled="f" stroked="f">
              <v:textbox inset="0,0,0,0">
                <w:txbxContent>
                  <w:p w14:paraId="635FB6C2" w14:textId="77777777" w:rsidR="00535723" w:rsidRDefault="00D5497E">
                    <w:pPr>
                      <w:spacing w:before="10"/>
                      <w:ind w:left="60" w:firstLine="60"/>
                      <w:textDirection w:val="btLr"/>
                    </w:pPr>
                    <w:r>
                      <w:rPr>
                        <w:b/>
                        <w:color w:val="000000"/>
                        <w:sz w:val="24"/>
                      </w:rPr>
                      <w:t xml:space="preserve"> PAGE 1 | </w:t>
                    </w:r>
                    <w:r>
                      <w:rPr>
                        <w:color w:val="7E7E7E"/>
                        <w:sz w:val="24"/>
                      </w:rPr>
                      <w:t>P ag 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B6D7D" w14:textId="77777777" w:rsidR="00D5497E" w:rsidRDefault="00D5497E">
      <w:r>
        <w:separator/>
      </w:r>
    </w:p>
  </w:footnote>
  <w:footnote w:type="continuationSeparator" w:id="0">
    <w:p w14:paraId="24480967" w14:textId="77777777" w:rsidR="00D5497E" w:rsidRDefault="00D54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23"/>
    <w:rsid w:val="001F562F"/>
    <w:rsid w:val="0027705A"/>
    <w:rsid w:val="00535723"/>
    <w:rsid w:val="00594198"/>
    <w:rsid w:val="00C00717"/>
    <w:rsid w:val="00D5497E"/>
    <w:rsid w:val="00F4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8D96"/>
  <w15:docId w15:val="{3124B8B4-1992-4DE2-A3CB-E2FA3E81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4CFD"/>
    <w:rPr>
      <w:color w:val="0000FF" w:themeColor="hyperlink"/>
      <w:u w:val="single"/>
    </w:rPr>
  </w:style>
  <w:style w:type="character" w:styleId="UnresolvedMention">
    <w:name w:val="Unresolved Mention"/>
    <w:basedOn w:val="DefaultParagraphFont"/>
    <w:uiPriority w:val="99"/>
    <w:semiHidden/>
    <w:unhideWhenUsed/>
    <w:rsid w:val="00F44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cg.org/national-capital/events/22nd-annual-corporate-growth-awards/nomination-form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ZCJL+mR7P1k9sHhKmeIH0SIcA==">CgMxLjA4AHIhMTB3NGhFX2g3eUFRTkt2ZlNUTDhLWUtCalI5eGpuSkNi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51BF1A5-3229-4E51-B108-DB00AD44C749}">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customXml/itemProps3.xml><?xml version="1.0" encoding="utf-8"?>
<ds:datastoreItem xmlns:ds="http://schemas.openxmlformats.org/officeDocument/2006/customXml" ds:itemID="{EF1AC19A-4A7D-4924-83C8-A3984A0F7073}">
  <ds:schemaRefs>
    <ds:schemaRef ds:uri="http://schemas.microsoft.com/sharepoint/v3/contenttype/forms"/>
  </ds:schemaRefs>
</ds:datastoreItem>
</file>

<file path=customXml/itemProps4.xml><?xml version="1.0" encoding="utf-8"?>
<ds:datastoreItem xmlns:ds="http://schemas.openxmlformats.org/officeDocument/2006/customXml" ds:itemID="{F981F74E-7AD2-425D-A553-E681525D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1577</Words>
  <Characters>8487</Characters>
  <Application>Microsoft Office Word</Application>
  <DocSecurity>0</DocSecurity>
  <Lines>404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Claire Sutton</cp:lastModifiedBy>
  <cp:revision>3</cp:revision>
  <dcterms:created xsi:type="dcterms:W3CDTF">2024-03-05T15:48:00Z</dcterms:created>
  <dcterms:modified xsi:type="dcterms:W3CDTF">2024-04-03T17:55:00Z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y fmtid="{D5CDD505-2E9C-101B-9397-08002B2CF9AE}" pid="3" name="Created">
    <vt:filetime>2023-02-13T00:00:00Z</vt:filetime>
  </property>
  <property fmtid="{D5CDD505-2E9C-101B-9397-08002B2CF9AE}" pid="4" name="Creator">
    <vt:lpwstr>Acrobat PDFMaker 22 for Word</vt:lpwstr>
  </property>
  <property fmtid="{D5CDD505-2E9C-101B-9397-08002B2CF9AE}" pid="5" name="DocID">
    <vt:lpwstr>#37887672_v2</vt:lpwstr>
  </property>
  <property fmtid="{D5CDD505-2E9C-101B-9397-08002B2CF9AE}" pid="6" name="LastSaved">
    <vt:filetime>2023-11-13T00:00:00Z</vt:filetime>
  </property>
  <property fmtid="{D5CDD505-2E9C-101B-9397-08002B2CF9AE}" pid="7" name="MediaServiceImageTags">
    <vt:lpwstr/>
  </property>
  <property fmtid="{D5CDD505-2E9C-101B-9397-08002B2CF9AE}" pid="8" name="Producer">
    <vt:lpwstr>Adobe PDF Library 22.3.90</vt:lpwstr>
  </property>
  <property fmtid="{D5CDD505-2E9C-101B-9397-08002B2CF9AE}" pid="9" name="SourceModified">
    <vt:lpwstr/>
  </property>
  <property fmtid="{D5CDD505-2E9C-101B-9397-08002B2CF9AE}" pid="10" name="_AdHocReviewCycleID">
    <vt:lpwstr>-678653837</vt:lpwstr>
  </property>
  <property fmtid="{D5CDD505-2E9C-101B-9397-08002B2CF9AE}" pid="11" name="_NewReviewCycle">
    <vt:lpwstr/>
  </property>
  <property fmtid="{D5CDD505-2E9C-101B-9397-08002B2CF9AE}" pid="12" name="_ReviewingToolsShownOnce">
    <vt:lpwstr/>
  </property>
</Properties>
</file>