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2502" w14:textId="77777777" w:rsidR="00D916DA" w:rsidRDefault="001566D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Deal Team: Private Equity Firm of the Year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5E2551" wp14:editId="0D5E2552">
            <wp:simplePos x="0" y="0"/>
            <wp:positionH relativeFrom="column">
              <wp:posOffset>1151889</wp:posOffset>
            </wp:positionH>
            <wp:positionV relativeFrom="paragraph">
              <wp:posOffset>-571499</wp:posOffset>
            </wp:positionV>
            <wp:extent cx="3639820" cy="1306195"/>
            <wp:effectExtent l="0" t="0" r="0" b="0"/>
            <wp:wrapTopAndBottom distT="0" distB="0"/>
            <wp:docPr id="1534784271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for a company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5E2503" w14:textId="77777777" w:rsidR="00D916DA" w:rsidRDefault="00D916DA">
      <w:pPr>
        <w:widowControl/>
        <w:tabs>
          <w:tab w:val="left" w:pos="92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5E2504" w14:textId="77777777" w:rsidR="00D916DA" w:rsidRDefault="001566DF">
      <w:pPr>
        <w:widowControl/>
        <w:tabs>
          <w:tab w:val="left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ACG National Capital will recognize a private equity firm headquartered, operating, and/or investing in the Greater Washington area that has demonstrated success in accomplishing successful growth oriented and/or buyout transactions that closed (along with all such transactions that signed) in 2023.  Such transactions must be either a majority economic stake in a company or a control transaction (inclusive of both equity and debt). Selection criteria will include factors such as number of transactions, tran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saction size and accomplishments, and impact on market share, industry, and our region.</w:t>
      </w:r>
    </w:p>
    <w:p w14:paraId="0D5E2505" w14:textId="77777777" w:rsidR="00D916DA" w:rsidRDefault="00D916DA">
      <w:pPr>
        <w:widowControl/>
        <w:tabs>
          <w:tab w:val="left" w:pos="92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5E2506" w14:textId="77777777" w:rsidR="00D916DA" w:rsidRDefault="00D916DA">
      <w:pPr>
        <w:widowControl/>
        <w:tabs>
          <w:tab w:val="left" w:pos="92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5E2507" w14:textId="77777777" w:rsidR="00D916DA" w:rsidRDefault="001566DF">
      <w:pPr>
        <w:tabs>
          <w:tab w:val="left" w:pos="927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Please submit the following information.</w:t>
      </w:r>
    </w:p>
    <w:p w14:paraId="0D5E2508" w14:textId="77777777" w:rsidR="00D916DA" w:rsidRDefault="00D916DA">
      <w:pPr>
        <w:tabs>
          <w:tab w:val="left" w:pos="9270"/>
        </w:tabs>
        <w:rPr>
          <w:rFonts w:ascii="Times New Roman" w:eastAsia="Times New Roman" w:hAnsi="Times New Roman" w:cs="Times New Roman"/>
          <w:b/>
          <w:i/>
        </w:rPr>
      </w:pPr>
    </w:p>
    <w:tbl>
      <w:tblPr>
        <w:tblStyle w:val="a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3437"/>
        <w:gridCol w:w="1890"/>
        <w:gridCol w:w="2806"/>
      </w:tblGrid>
      <w:tr w:rsidR="00D916DA" w14:paraId="0D5E250D" w14:textId="77777777">
        <w:trPr>
          <w:trHeight w:val="312"/>
        </w:trPr>
        <w:tc>
          <w:tcPr>
            <w:tcW w:w="1243" w:type="dxa"/>
            <w:vAlign w:val="center"/>
          </w:tcPr>
          <w:p w14:paraId="0D5E2509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Nominator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  <w:vAlign w:val="center"/>
          </w:tcPr>
          <w:p w14:paraId="0D5E250A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D5E250B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Nominated Private Equity Firm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0D5E250C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16DA" w14:paraId="0D5E2512" w14:textId="77777777">
        <w:trPr>
          <w:trHeight w:val="290"/>
        </w:trPr>
        <w:tc>
          <w:tcPr>
            <w:tcW w:w="1243" w:type="dxa"/>
            <w:vAlign w:val="center"/>
          </w:tcPr>
          <w:p w14:paraId="0D5E250E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0F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D5E2510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 Name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11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16DA" w14:paraId="0D5E2517" w14:textId="77777777">
        <w:trPr>
          <w:trHeight w:val="312"/>
        </w:trPr>
        <w:tc>
          <w:tcPr>
            <w:tcW w:w="1243" w:type="dxa"/>
            <w:vAlign w:val="center"/>
          </w:tcPr>
          <w:p w14:paraId="0D5E2513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14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D5E2515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Person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16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16DA" w14:paraId="0D5E251C" w14:textId="77777777">
        <w:trPr>
          <w:trHeight w:val="312"/>
        </w:trPr>
        <w:tc>
          <w:tcPr>
            <w:tcW w:w="1243" w:type="dxa"/>
            <w:vAlign w:val="center"/>
          </w:tcPr>
          <w:p w14:paraId="0D5E2518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19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D5E251A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1B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16DA" w14:paraId="0D5E2521" w14:textId="77777777">
        <w:trPr>
          <w:trHeight w:val="312"/>
        </w:trPr>
        <w:tc>
          <w:tcPr>
            <w:tcW w:w="1243" w:type="dxa"/>
            <w:vAlign w:val="center"/>
          </w:tcPr>
          <w:p w14:paraId="0D5E251D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4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1E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D5E251F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20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5E2522" w14:textId="77777777" w:rsidR="00D916DA" w:rsidRDefault="00D916DA">
      <w:pPr>
        <w:widowControl/>
        <w:tabs>
          <w:tab w:val="left" w:pos="92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5E2523" w14:textId="77777777" w:rsidR="00D916DA" w:rsidRDefault="00D916DA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1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3600"/>
      </w:tblGrid>
      <w:tr w:rsidR="00D916DA" w14:paraId="0D5E2526" w14:textId="77777777">
        <w:trPr>
          <w:trHeight w:val="218"/>
        </w:trPr>
        <w:tc>
          <w:tcPr>
            <w:tcW w:w="5580" w:type="dxa"/>
          </w:tcPr>
          <w:p w14:paraId="0D5E2524" w14:textId="77777777" w:rsidR="00D916DA" w:rsidRDefault="001566DF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Number of transactions in 2023 involving the team: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0D5E2525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5E2527" w14:textId="77777777" w:rsidR="00D916DA" w:rsidRDefault="00D916DA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1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3600"/>
      </w:tblGrid>
      <w:tr w:rsidR="00D916DA" w14:paraId="0D5E252A" w14:textId="77777777">
        <w:trPr>
          <w:trHeight w:val="218"/>
        </w:trPr>
        <w:tc>
          <w:tcPr>
            <w:tcW w:w="5580" w:type="dxa"/>
          </w:tcPr>
          <w:p w14:paraId="0D5E2528" w14:textId="77777777" w:rsidR="00D916DA" w:rsidRDefault="001566DF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transactions involving entities within the Greater Washington area: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0D5E2529" w14:textId="77777777" w:rsidR="00D916DA" w:rsidRDefault="00D916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5E252B" w14:textId="77777777" w:rsidR="00D916DA" w:rsidRDefault="00D916DA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3584"/>
      </w:tblGrid>
      <w:tr w:rsidR="00D916DA" w14:paraId="0D5E252E" w14:textId="77777777">
        <w:trPr>
          <w:trHeight w:val="218"/>
        </w:trPr>
        <w:tc>
          <w:tcPr>
            <w:tcW w:w="5580" w:type="dxa"/>
            <w:vAlign w:val="center"/>
          </w:tcPr>
          <w:p w14:paraId="0D5E252C" w14:textId="77777777" w:rsidR="00D916DA" w:rsidRDefault="001566DF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cash deployed in 2023: </w:t>
            </w:r>
          </w:p>
        </w:tc>
        <w:tc>
          <w:tcPr>
            <w:tcW w:w="3584" w:type="dxa"/>
            <w:tcBorders>
              <w:bottom w:val="single" w:sz="4" w:space="0" w:color="000000"/>
            </w:tcBorders>
            <w:vAlign w:val="center"/>
          </w:tcPr>
          <w:p w14:paraId="0D5E252D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D916DA" w14:paraId="0D5E2531" w14:textId="77777777">
        <w:trPr>
          <w:trHeight w:val="218"/>
        </w:trPr>
        <w:tc>
          <w:tcPr>
            <w:tcW w:w="5580" w:type="dxa"/>
            <w:vAlign w:val="center"/>
          </w:tcPr>
          <w:p w14:paraId="0D5E252F" w14:textId="77777777" w:rsidR="00D916DA" w:rsidRDefault="001566DF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(If applicable) capital raised in 2023: </w:t>
            </w:r>
          </w:p>
        </w:tc>
        <w:tc>
          <w:tcPr>
            <w:tcW w:w="35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E2530" w14:textId="77777777" w:rsidR="00D916DA" w:rsidRDefault="001566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</w:tbl>
    <w:p w14:paraId="0D5E2532" w14:textId="77777777" w:rsidR="00D916DA" w:rsidRDefault="00D916DA">
      <w:pPr>
        <w:widowControl/>
        <w:tabs>
          <w:tab w:val="left" w:pos="92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14C82BA" w14:textId="77777777" w:rsidR="001A6AEB" w:rsidRDefault="001A6AEB">
      <w:pPr>
        <w:widowControl/>
        <w:tabs>
          <w:tab w:val="left" w:pos="92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E2533" w14:textId="1189DF69" w:rsidR="00D916DA" w:rsidRDefault="001566DF">
      <w:pPr>
        <w:widowControl/>
        <w:tabs>
          <w:tab w:val="left" w:pos="927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provide a brief description of deals that occurred in 2023: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Please include platforms formed and exited, acquired companies within a platform and capital raises that have occurred.  </w:t>
      </w:r>
    </w:p>
    <w:p w14:paraId="0D5E2534" w14:textId="77777777" w:rsidR="00D916DA" w:rsidRDefault="001566D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0D5E2537" w14:textId="3E691F43" w:rsidR="00D916DA" w:rsidRDefault="00D916DA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5E2538" w14:textId="77777777" w:rsidR="00D916DA" w:rsidRDefault="001566DF">
      <w:pPr>
        <w:widowControl/>
        <w:tabs>
          <w:tab w:val="left" w:pos="927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Deal Team: Private Equity Firm of the Year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</w:p>
    <w:p w14:paraId="0D5E2539" w14:textId="77777777" w:rsidR="00D916DA" w:rsidRDefault="00D916DA">
      <w:pPr>
        <w:widowControl/>
        <w:tabs>
          <w:tab w:val="left" w:pos="927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5E253A" w14:textId="77777777" w:rsidR="00D916DA" w:rsidRDefault="001566DF">
      <w:pPr>
        <w:widowControl/>
        <w:tabs>
          <w:tab w:val="left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Deal Team's Role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Briefly describe the impact of the deal(s) on the deal team's organization, and/or specific platform. Areas to consider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include: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industry exposure, geographic footprint, market share, product/service capabilities, deal size(s), customer base, etc.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D5E253B" w14:textId="77777777" w:rsidR="00D916DA" w:rsidRDefault="001566D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0D5E253C" w14:textId="77777777" w:rsidR="00D916DA" w:rsidRDefault="00D916DA">
      <w:pPr>
        <w:widowControl/>
        <w:tabs>
          <w:tab w:val="left" w:pos="92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5E253D" w14:textId="77777777" w:rsidR="00D916DA" w:rsidRDefault="00D916DA">
      <w:pPr>
        <w:widowControl/>
        <w:tabs>
          <w:tab w:val="left" w:pos="927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5E253E" w14:textId="77777777" w:rsidR="00D916DA" w:rsidRDefault="001566DF">
      <w:pPr>
        <w:widowControl/>
        <w:tabs>
          <w:tab w:val="left" w:pos="927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also list any differentiators that you believe make this deal team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deserving 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special recognition.</w:t>
      </w:r>
    </w:p>
    <w:p w14:paraId="0D5E253F" w14:textId="77777777" w:rsidR="00D916DA" w:rsidRDefault="001566D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0D5E2540" w14:textId="77777777" w:rsidR="00D916DA" w:rsidRDefault="00D916DA">
      <w:pPr>
        <w:tabs>
          <w:tab w:val="left" w:pos="9270"/>
        </w:tabs>
        <w:rPr>
          <w:rFonts w:ascii="Times New Roman" w:eastAsia="Times New Roman" w:hAnsi="Times New Roman" w:cs="Times New Roman"/>
          <w:b/>
        </w:rPr>
      </w:pPr>
    </w:p>
    <w:p w14:paraId="0D5E2541" w14:textId="77777777" w:rsidR="00D916DA" w:rsidRDefault="00D916DA">
      <w:pPr>
        <w:tabs>
          <w:tab w:val="left" w:pos="9270"/>
        </w:tabs>
        <w:rPr>
          <w:rFonts w:ascii="Times New Roman" w:eastAsia="Times New Roman" w:hAnsi="Times New Roman" w:cs="Times New Roman"/>
          <w:b/>
        </w:rPr>
      </w:pPr>
    </w:p>
    <w:p w14:paraId="0D5E2542" w14:textId="77777777" w:rsidR="00D916DA" w:rsidRDefault="00D916DA">
      <w:pPr>
        <w:tabs>
          <w:tab w:val="left" w:pos="9270"/>
        </w:tabs>
        <w:rPr>
          <w:rFonts w:ascii="Times New Roman" w:eastAsia="Times New Roman" w:hAnsi="Times New Roman" w:cs="Times New Roman"/>
          <w:b/>
        </w:rPr>
      </w:pPr>
    </w:p>
    <w:p w14:paraId="0D5E2543" w14:textId="77777777" w:rsidR="00D916DA" w:rsidRDefault="001566DF">
      <w:pPr>
        <w:tabs>
          <w:tab w:val="left" w:pos="927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you were to win this award, what would you like your walk-up song to be?</w:t>
      </w:r>
    </w:p>
    <w:p w14:paraId="0D5E2544" w14:textId="77777777" w:rsidR="00D916DA" w:rsidRDefault="001566D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0D5E2545" w14:textId="77777777" w:rsidR="00D916DA" w:rsidRDefault="00D916DA">
      <w:pPr>
        <w:tabs>
          <w:tab w:val="left" w:pos="9270"/>
        </w:tabs>
        <w:rPr>
          <w:rFonts w:ascii="Times New Roman" w:eastAsia="Times New Roman" w:hAnsi="Times New Roman" w:cs="Times New Roman"/>
        </w:rPr>
      </w:pPr>
    </w:p>
    <w:p w14:paraId="0D5E2546" w14:textId="77777777" w:rsidR="00D916DA" w:rsidRDefault="00D916DA">
      <w:pPr>
        <w:tabs>
          <w:tab w:val="left" w:pos="9270"/>
        </w:tabs>
        <w:rPr>
          <w:rFonts w:ascii="Times New Roman" w:eastAsia="Times New Roman" w:hAnsi="Times New Roman" w:cs="Times New Roman"/>
        </w:rPr>
      </w:pPr>
    </w:p>
    <w:p w14:paraId="0D5E2547" w14:textId="77777777" w:rsidR="00D916DA" w:rsidRDefault="00D916DA">
      <w:pPr>
        <w:rPr>
          <w:rFonts w:ascii="Times New Roman" w:eastAsia="Times New Roman" w:hAnsi="Times New Roman" w:cs="Times New Roman"/>
        </w:rPr>
      </w:pPr>
    </w:p>
    <w:p w14:paraId="0D5E2548" w14:textId="6D197DF3" w:rsidR="00D916DA" w:rsidRDefault="001566DF">
      <w:pPr>
        <w:spacing w:after="120"/>
        <w:jc w:val="center"/>
        <w:rPr>
          <w:rFonts w:ascii="Times New Roman" w:eastAsia="Times New Roman" w:hAnsi="Times New Roman" w:cs="Times New Roman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</w:rPr>
        <w:t>Please submit your nomination to: </w:t>
      </w:r>
      <w:hyperlink r:id="rId11" w:history="1">
        <w:r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Thank you for your submission!</w:t>
      </w:r>
    </w:p>
    <w:p w14:paraId="0D5E2549" w14:textId="77777777" w:rsidR="00D916DA" w:rsidRDefault="001566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You and your management team are invited to the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Nominee Reception May 16</w:t>
      </w:r>
    </w:p>
    <w:p w14:paraId="0D5E254A" w14:textId="77777777" w:rsidR="00D916DA" w:rsidRDefault="001566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Where the finalists will be announced.</w:t>
      </w:r>
    </w:p>
    <w:p w14:paraId="0D5E254B" w14:textId="77777777" w:rsidR="00D916DA" w:rsidRDefault="00D91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</w:rPr>
      </w:pPr>
    </w:p>
    <w:p w14:paraId="0D5E254C" w14:textId="699D28CC" w:rsidR="00D916DA" w:rsidRDefault="001566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hyperlink r:id="rId12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Register here</w:t>
        </w:r>
      </w:hyperlink>
      <w:r>
        <w:rPr>
          <w:rFonts w:ascii="Times New Roman" w:eastAsia="Times New Roman" w:hAnsi="Times New Roman" w:cs="Times New Roman"/>
        </w:rPr>
        <w:t xml:space="preserve"> or email </w:t>
      </w:r>
      <w:hyperlink r:id="rId13" w:history="1">
        <w:r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563C1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with names and email addresses of attendees.</w:t>
      </w:r>
    </w:p>
    <w:p w14:paraId="0D5E254D" w14:textId="77777777" w:rsidR="00D916DA" w:rsidRDefault="00D916DA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0D5E254E" w14:textId="77777777" w:rsidR="00D916DA" w:rsidRDefault="001566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Save the date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0D5E254F" w14:textId="77777777" w:rsidR="00D916DA" w:rsidRDefault="001566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ACG Awards Gala, June 6, 2024, at the Ritz-Carlton Tysons</w:t>
      </w:r>
    </w:p>
    <w:p w14:paraId="0D5E2550" w14:textId="614F859F" w:rsidR="00D916DA" w:rsidRDefault="001566DF">
      <w:pPr>
        <w:spacing w:after="120"/>
        <w:jc w:val="center"/>
      </w:pPr>
      <w:r>
        <w:rPr>
          <w:rFonts w:ascii="Times New Roman" w:eastAsia="Times New Roman" w:hAnsi="Times New Roman" w:cs="Times New Roman"/>
          <w:color w:val="808080"/>
        </w:rPr>
        <w:t xml:space="preserve">ACG National </w:t>
      </w:r>
      <w:proofErr w:type="gramStart"/>
      <w:r>
        <w:rPr>
          <w:rFonts w:ascii="Times New Roman" w:eastAsia="Times New Roman" w:hAnsi="Times New Roman" w:cs="Times New Roman"/>
          <w:color w:val="808080"/>
        </w:rPr>
        <w:t>Capital  |</w:t>
      </w:r>
      <w:proofErr w:type="gramEnd"/>
      <w:r>
        <w:rPr>
          <w:rFonts w:ascii="Times New Roman" w:eastAsia="Times New Roman" w:hAnsi="Times New Roman" w:cs="Times New Roman"/>
          <w:color w:val="808080"/>
        </w:rPr>
        <w:t xml:space="preserve">  Office 703-584-0246  | capitalawards@acg.org</w:t>
      </w:r>
    </w:p>
    <w:sectPr w:rsidR="00D916DA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E2558" w14:textId="77777777" w:rsidR="001566DF" w:rsidRDefault="001566DF">
      <w:r>
        <w:separator/>
      </w:r>
    </w:p>
  </w:endnote>
  <w:endnote w:type="continuationSeparator" w:id="0">
    <w:p w14:paraId="0D5E255A" w14:textId="77777777" w:rsidR="001566DF" w:rsidRDefault="0015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2553" w14:textId="77777777" w:rsidR="00D916DA" w:rsidRDefault="001566DF">
    <w:pPr>
      <w:jc w:val="center"/>
      <w:rPr>
        <w:rFonts w:ascii="Times New Roman" w:eastAsia="Times New Roman" w:hAnsi="Times New Roman" w:cs="Times New Roman"/>
        <w:color w:val="FF0000"/>
        <w:sz w:val="18"/>
        <w:szCs w:val="18"/>
      </w:rPr>
    </w:pPr>
    <w:hyperlink r:id="rId1">
      <w:r>
        <w:rPr>
          <w:rFonts w:ascii="Times New Roman" w:eastAsia="Times New Roman" w:hAnsi="Times New Roman" w:cs="Times New Roman"/>
          <w:color w:val="336699"/>
          <w:sz w:val="18"/>
          <w:szCs w:val="18"/>
          <w:u w:val="single"/>
        </w:rPr>
        <w:t>Security Standards</w:t>
      </w:r>
    </w:hyperlink>
    <w:r>
      <w:rPr>
        <w:rFonts w:ascii="Times New Roman" w:eastAsia="Times New Roman" w:hAnsi="Times New Roman" w:cs="Times New Roman"/>
        <w:color w:val="33669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FF0000"/>
        <w:sz w:val="18"/>
        <w:szCs w:val="18"/>
      </w:rPr>
      <w:t>All information will be kept confidential by the ACG staff, and the Awards Committee comprised of ACG members and sponsors.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E2554" w14:textId="77777777" w:rsidR="001566DF" w:rsidRDefault="001566DF">
      <w:r>
        <w:separator/>
      </w:r>
    </w:p>
  </w:footnote>
  <w:footnote w:type="continuationSeparator" w:id="0">
    <w:p w14:paraId="0D5E2556" w14:textId="77777777" w:rsidR="001566DF" w:rsidRDefault="0015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D77D2"/>
    <w:multiLevelType w:val="multilevel"/>
    <w:tmpl w:val="ED009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926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DA"/>
    <w:rsid w:val="001566DF"/>
    <w:rsid w:val="001A6AEB"/>
    <w:rsid w:val="00D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2502"/>
  <w15:docId w15:val="{C8B68F0E-EE0F-4C4A-8A3A-7678CA1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CC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130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30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30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3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1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329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C7F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5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pitalawards@ac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g.org/national-capital/events/2024-corporate-growth-awards-nominee-recep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italawards@acg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worldapp.com/collateral/Security_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8" ma:contentTypeDescription="Create a new document." ma:contentTypeScope="" ma:versionID="fbb67180ad0bcb9909ae8c1be9b6848b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cee8d869cbf90155c190f38816df5a61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/8fPeUSwopuIYs1iacR3JGuyQ==">CgMxLjAyCWlkLmdqZGd4czIKaWQuMzBqMHpsbDIKaWQuMWZvYjl0ZTgAciExenhwUUxzZFpDMXhUbUhvT0l3N3FFZXNHMk12ZnVKX2c=</go:docsCustomData>
</go:gDocsCustomXmlDataStorage>
</file>

<file path=customXml/itemProps1.xml><?xml version="1.0" encoding="utf-8"?>
<ds:datastoreItem xmlns:ds="http://schemas.openxmlformats.org/officeDocument/2006/customXml" ds:itemID="{D72D85B8-76E5-4EB6-827F-50AEA273F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AD782-7F29-405E-ADE4-DB5D8A54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2267</Characters>
  <Application>Microsoft Office Word</Application>
  <DocSecurity>0</DocSecurity>
  <Lines>125</Lines>
  <Paragraphs>70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Kania</dc:creator>
  <cp:lastModifiedBy>Claire Sutton</cp:lastModifiedBy>
  <cp:revision>3</cp:revision>
  <dcterms:created xsi:type="dcterms:W3CDTF">2024-01-12T14:40:00Z</dcterms:created>
  <dcterms:modified xsi:type="dcterms:W3CDTF">2024-04-03T18:29:00Z</dcterms:modified>
</cp:coreProperties>
</file>